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57" w:rsidRPr="00F210A6" w:rsidRDefault="00F210A6" w:rsidP="00F210A6">
      <w:pPr>
        <w:pStyle w:val="NoSpacing"/>
        <w:jc w:val="center"/>
        <w:rPr>
          <w:rFonts w:asciiTheme="majorHAnsi" w:hAnsiTheme="majorHAnsi"/>
          <w:b/>
          <w:sz w:val="28"/>
          <w:szCs w:val="28"/>
        </w:rPr>
      </w:pPr>
      <w:r w:rsidRPr="00F210A6">
        <w:rPr>
          <w:rFonts w:asciiTheme="majorHAnsi" w:hAnsiTheme="majorHAnsi"/>
          <w:b/>
          <w:noProof/>
          <w:sz w:val="28"/>
          <w:szCs w:val="28"/>
        </w:rPr>
        <w:drawing>
          <wp:anchor distT="0" distB="0" distL="114300" distR="114300" simplePos="0" relativeHeight="251660288" behindDoc="1" locked="0" layoutInCell="1" allowOverlap="1" wp14:anchorId="4A30F3AA" wp14:editId="53008C5C">
            <wp:simplePos x="0" y="0"/>
            <wp:positionH relativeFrom="column">
              <wp:posOffset>-581025</wp:posOffset>
            </wp:positionH>
            <wp:positionV relativeFrom="paragraph">
              <wp:posOffset>-365761</wp:posOffset>
            </wp:positionV>
            <wp:extent cx="2231338" cy="1533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ps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9017" cy="1538803"/>
                    </a:xfrm>
                    <a:prstGeom prst="rect">
                      <a:avLst/>
                    </a:prstGeom>
                  </pic:spPr>
                </pic:pic>
              </a:graphicData>
            </a:graphic>
            <wp14:sizeRelH relativeFrom="margin">
              <wp14:pctWidth>0</wp14:pctWidth>
            </wp14:sizeRelH>
            <wp14:sizeRelV relativeFrom="margin">
              <wp14:pctHeight>0</wp14:pctHeight>
            </wp14:sizeRelV>
          </wp:anchor>
        </w:drawing>
      </w:r>
      <w:r w:rsidR="000F1EF9" w:rsidRPr="00F210A6">
        <w:rPr>
          <w:rFonts w:asciiTheme="majorHAnsi" w:hAnsiTheme="majorHAnsi"/>
          <w:b/>
          <w:sz w:val="28"/>
          <w:szCs w:val="28"/>
        </w:rPr>
        <w:t>Assessment of</w:t>
      </w:r>
      <w:r w:rsidR="007F6BDC" w:rsidRPr="00F210A6">
        <w:rPr>
          <w:rFonts w:asciiTheme="majorHAnsi" w:hAnsiTheme="majorHAnsi"/>
          <w:b/>
          <w:sz w:val="28"/>
          <w:szCs w:val="28"/>
        </w:rPr>
        <w:t xml:space="preserve"> </w:t>
      </w:r>
      <w:r w:rsidR="003D6807" w:rsidRPr="00F210A6">
        <w:rPr>
          <w:rFonts w:asciiTheme="majorHAnsi" w:hAnsiTheme="majorHAnsi"/>
          <w:b/>
          <w:sz w:val="28"/>
          <w:szCs w:val="28"/>
        </w:rPr>
        <w:t xml:space="preserve">Extended Producer Responsibility </w:t>
      </w:r>
      <w:r w:rsidR="00125DEC" w:rsidRPr="00F210A6">
        <w:rPr>
          <w:rFonts w:asciiTheme="majorHAnsi" w:hAnsiTheme="majorHAnsi"/>
          <w:b/>
          <w:sz w:val="28"/>
          <w:szCs w:val="28"/>
        </w:rPr>
        <w:t>Legislation</w:t>
      </w:r>
      <w:r w:rsidR="00A53E29" w:rsidRPr="00F210A6">
        <w:rPr>
          <w:rFonts w:asciiTheme="majorHAnsi" w:hAnsiTheme="majorHAnsi"/>
          <w:b/>
          <w:sz w:val="28"/>
          <w:szCs w:val="28"/>
        </w:rPr>
        <w:t>, Plans</w:t>
      </w:r>
      <w:r w:rsidR="00125DEC" w:rsidRPr="00F210A6">
        <w:rPr>
          <w:rFonts w:asciiTheme="majorHAnsi" w:hAnsiTheme="majorHAnsi"/>
          <w:b/>
          <w:sz w:val="28"/>
          <w:szCs w:val="28"/>
        </w:rPr>
        <w:t xml:space="preserve"> and </w:t>
      </w:r>
      <w:r w:rsidR="00A53E29" w:rsidRPr="00F210A6">
        <w:rPr>
          <w:rFonts w:asciiTheme="majorHAnsi" w:hAnsiTheme="majorHAnsi"/>
          <w:b/>
          <w:sz w:val="28"/>
          <w:szCs w:val="28"/>
        </w:rPr>
        <w:t>Programs</w:t>
      </w:r>
    </w:p>
    <w:p w:rsidR="00712B18" w:rsidRPr="005D479D" w:rsidRDefault="00E2643B" w:rsidP="00F210A6">
      <w:pPr>
        <w:pStyle w:val="NoSpacing"/>
        <w:ind w:left="7200"/>
        <w:rPr>
          <w:rFonts w:asciiTheme="majorHAnsi" w:hAnsiTheme="majorHAnsi"/>
          <w:i/>
          <w:sz w:val="20"/>
          <w:szCs w:val="20"/>
        </w:rPr>
      </w:pPr>
      <w:r>
        <w:rPr>
          <w:noProof/>
          <w:sz w:val="20"/>
          <w:szCs w:val="20"/>
        </w:rPr>
        <mc:AlternateContent>
          <mc:Choice Requires="wps">
            <w:drawing>
              <wp:anchor distT="0" distB="0" distL="114300" distR="114300" simplePos="0" relativeHeight="251659264" behindDoc="0" locked="0" layoutInCell="1" allowOverlap="1" wp14:anchorId="571589D3" wp14:editId="70554CC6">
                <wp:simplePos x="0" y="0"/>
                <wp:positionH relativeFrom="column">
                  <wp:posOffset>1381125</wp:posOffset>
                </wp:positionH>
                <wp:positionV relativeFrom="paragraph">
                  <wp:posOffset>83185</wp:posOffset>
                </wp:positionV>
                <wp:extent cx="10448925" cy="876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48925" cy="876300"/>
                        </a:xfrm>
                        <a:prstGeom prst="rect">
                          <a:avLst/>
                        </a:prstGeom>
                        <a:noFill/>
                        <a:ln w="6350">
                          <a:solidFill>
                            <a:prstClr val="black"/>
                          </a:solidFill>
                        </a:ln>
                        <a:effectLst/>
                      </wps:spPr>
                      <wps:txbx>
                        <w:txbxContent>
                          <w:p w:rsidR="00712B18" w:rsidRPr="002621E7" w:rsidRDefault="000F6149" w:rsidP="007F6689">
                            <w:pPr>
                              <w:pStyle w:val="NoSpacing"/>
                              <w:shd w:val="clear" w:color="auto" w:fill="DAE1EB" w:themeFill="accent6" w:themeFillTint="33"/>
                              <w:rPr>
                                <w:rFonts w:asciiTheme="majorHAnsi" w:hAnsiTheme="majorHAnsi"/>
                                <w:b/>
                                <w:sz w:val="26"/>
                                <w:szCs w:val="26"/>
                              </w:rPr>
                            </w:pPr>
                            <w:r w:rsidRPr="002621E7">
                              <w:rPr>
                                <w:rFonts w:asciiTheme="majorHAnsi" w:hAnsiTheme="majorHAnsi"/>
                                <w:b/>
                                <w:sz w:val="26"/>
                                <w:szCs w:val="26"/>
                              </w:rPr>
                              <w:t xml:space="preserve">Minnesota Product Stewardship Council </w:t>
                            </w:r>
                            <w:r w:rsidR="00712B18" w:rsidRPr="002621E7">
                              <w:rPr>
                                <w:rFonts w:asciiTheme="majorHAnsi" w:hAnsiTheme="majorHAnsi"/>
                                <w:b/>
                                <w:sz w:val="26"/>
                                <w:szCs w:val="26"/>
                              </w:rPr>
                              <w:t>Definition of Extended Producer Responsibility</w:t>
                            </w:r>
                          </w:p>
                          <w:p w:rsidR="00712B18" w:rsidRPr="002621E7" w:rsidRDefault="00712B18" w:rsidP="007F6689">
                            <w:pPr>
                              <w:pStyle w:val="NoSpacing"/>
                              <w:shd w:val="clear" w:color="auto" w:fill="DAE1EB" w:themeFill="accent6" w:themeFillTint="33"/>
                              <w:tabs>
                                <w:tab w:val="left" w:pos="3600"/>
                              </w:tabs>
                              <w:rPr>
                                <w:rFonts w:asciiTheme="majorHAnsi" w:hAnsiTheme="majorHAnsi"/>
                                <w:i/>
                                <w:sz w:val="26"/>
                                <w:szCs w:val="26"/>
                              </w:rPr>
                            </w:pPr>
                            <w:r w:rsidRPr="002621E7">
                              <w:rPr>
                                <w:rFonts w:asciiTheme="majorHAnsi" w:hAnsiTheme="majorHAnsi"/>
                                <w:i/>
                                <w:sz w:val="26"/>
                                <w:szCs w:val="26"/>
                              </w:rPr>
                              <w:t>Extended Producer Responsibility (EPR) is an essential element of Product Stewardship in which producers design and implement environmentally protective systems to recover and manage the components of their products and packaging,</w:t>
                            </w:r>
                            <w:r w:rsidR="00DF5D1A" w:rsidRPr="002621E7">
                              <w:rPr>
                                <w:rFonts w:asciiTheme="majorHAnsi" w:hAnsiTheme="majorHAnsi"/>
                                <w:i/>
                                <w:sz w:val="26"/>
                                <w:szCs w:val="26"/>
                              </w:rPr>
                              <w:t xml:space="preserve"> </w:t>
                            </w:r>
                            <w:r w:rsidRPr="002621E7">
                              <w:rPr>
                                <w:rFonts w:asciiTheme="majorHAnsi" w:hAnsiTheme="majorHAnsi"/>
                                <w:i/>
                                <w:sz w:val="26"/>
                                <w:szCs w:val="26"/>
                              </w:rPr>
                              <w:t>consistent with the Minne</w:t>
                            </w:r>
                            <w:r w:rsidR="000F1EF9" w:rsidRPr="002621E7">
                              <w:rPr>
                                <w:rFonts w:asciiTheme="majorHAnsi" w:hAnsiTheme="majorHAnsi"/>
                                <w:i/>
                                <w:sz w:val="26"/>
                                <w:szCs w:val="26"/>
                              </w:rPr>
                              <w:t>sota Waste Management Hierarchy</w:t>
                            </w:r>
                            <w:r w:rsidR="000F6149" w:rsidRPr="002621E7">
                              <w:rPr>
                                <w:rFonts w:asciiTheme="majorHAnsi" w:hAnsiTheme="majorHAnsi"/>
                                <w:i/>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589D3" id="_x0000_t202" coordsize="21600,21600" o:spt="202" path="m,l,21600r21600,l21600,xe">
                <v:stroke joinstyle="miter"/>
                <v:path gradientshapeok="t" o:connecttype="rect"/>
              </v:shapetype>
              <v:shape id="Text Box 1" o:spid="_x0000_s1026" type="#_x0000_t202" style="position:absolute;left:0;text-align:left;margin-left:108.75pt;margin-top:6.55pt;width:822.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" filled="f" strokeweight=".5pt">
                <v:path arrowok="t"/>
                <v:textbox>
                  <w:txbxContent>
                    <w:p w:rsidR="00712B18" w:rsidRPr="002621E7" w:rsidRDefault="000F6149" w:rsidP="007F6689">
                      <w:pPr>
                        <w:pStyle w:val="NoSpacing"/>
                        <w:shd w:val="clear" w:color="auto" w:fill="DAE1EB" w:themeFill="accent6" w:themeFillTint="33"/>
                        <w:rPr>
                          <w:rFonts w:asciiTheme="majorHAnsi" w:hAnsiTheme="majorHAnsi"/>
                          <w:b/>
                          <w:sz w:val="26"/>
                          <w:szCs w:val="26"/>
                        </w:rPr>
                      </w:pPr>
                      <w:r w:rsidRPr="002621E7">
                        <w:rPr>
                          <w:rFonts w:asciiTheme="majorHAnsi" w:hAnsiTheme="majorHAnsi"/>
                          <w:b/>
                          <w:sz w:val="26"/>
                          <w:szCs w:val="26"/>
                        </w:rPr>
                        <w:t xml:space="preserve">Minnesota Product Stewardship Council </w:t>
                      </w:r>
                      <w:r w:rsidR="00712B18" w:rsidRPr="002621E7">
                        <w:rPr>
                          <w:rFonts w:asciiTheme="majorHAnsi" w:hAnsiTheme="majorHAnsi"/>
                          <w:b/>
                          <w:sz w:val="26"/>
                          <w:szCs w:val="26"/>
                        </w:rPr>
                        <w:t>Definition of Extended Producer Responsibility</w:t>
                      </w:r>
                    </w:p>
                    <w:p w:rsidR="00712B18" w:rsidRPr="002621E7" w:rsidRDefault="00712B18" w:rsidP="007F6689">
                      <w:pPr>
                        <w:pStyle w:val="NoSpacing"/>
                        <w:shd w:val="clear" w:color="auto" w:fill="DAE1EB" w:themeFill="accent6" w:themeFillTint="33"/>
                        <w:tabs>
                          <w:tab w:val="left" w:pos="3600"/>
                        </w:tabs>
                        <w:rPr>
                          <w:rFonts w:asciiTheme="majorHAnsi" w:hAnsiTheme="majorHAnsi"/>
                          <w:i/>
                          <w:sz w:val="26"/>
                          <w:szCs w:val="26"/>
                        </w:rPr>
                      </w:pPr>
                      <w:r w:rsidRPr="002621E7">
                        <w:rPr>
                          <w:rFonts w:asciiTheme="majorHAnsi" w:hAnsiTheme="majorHAnsi"/>
                          <w:i/>
                          <w:sz w:val="26"/>
                          <w:szCs w:val="26"/>
                        </w:rPr>
                        <w:t>Extended Producer Responsibility (EPR) is an essential element of Product Stewardship in which producers design and implement environmentally protective systems to recover and manage the components of their products and packaging,</w:t>
                      </w:r>
                      <w:r w:rsidR="00DF5D1A" w:rsidRPr="002621E7">
                        <w:rPr>
                          <w:rFonts w:asciiTheme="majorHAnsi" w:hAnsiTheme="majorHAnsi"/>
                          <w:i/>
                          <w:sz w:val="26"/>
                          <w:szCs w:val="26"/>
                        </w:rPr>
                        <w:t xml:space="preserve"> </w:t>
                      </w:r>
                      <w:r w:rsidRPr="002621E7">
                        <w:rPr>
                          <w:rFonts w:asciiTheme="majorHAnsi" w:hAnsiTheme="majorHAnsi"/>
                          <w:i/>
                          <w:sz w:val="26"/>
                          <w:szCs w:val="26"/>
                        </w:rPr>
                        <w:t>consistent with the Minne</w:t>
                      </w:r>
                      <w:r w:rsidR="000F1EF9" w:rsidRPr="002621E7">
                        <w:rPr>
                          <w:rFonts w:asciiTheme="majorHAnsi" w:hAnsiTheme="majorHAnsi"/>
                          <w:i/>
                          <w:sz w:val="26"/>
                          <w:szCs w:val="26"/>
                        </w:rPr>
                        <w:t>sota Waste Management Hierarchy</w:t>
                      </w:r>
                      <w:r w:rsidR="000F6149" w:rsidRPr="002621E7">
                        <w:rPr>
                          <w:rFonts w:asciiTheme="majorHAnsi" w:hAnsiTheme="majorHAnsi"/>
                          <w:i/>
                          <w:sz w:val="26"/>
                          <w:szCs w:val="26"/>
                        </w:rPr>
                        <w:t>.</w:t>
                      </w:r>
                    </w:p>
                  </w:txbxContent>
                </v:textbox>
                <w10:wrap type="square"/>
              </v:shape>
            </w:pict>
          </mc:Fallback>
        </mc:AlternateContent>
      </w:r>
    </w:p>
    <w:p w:rsidR="004E4D33" w:rsidRDefault="00F60E51" w:rsidP="00F210A6">
      <w:pPr>
        <w:pStyle w:val="NoSpacing"/>
        <w:rPr>
          <w:rFonts w:asciiTheme="majorHAnsi" w:hAnsiTheme="majorHAnsi"/>
          <w:sz w:val="36"/>
          <w:szCs w:val="36"/>
        </w:rPr>
      </w:pPr>
      <w:r w:rsidRPr="00C7725E">
        <w:rPr>
          <w:rFonts w:asciiTheme="majorHAnsi" w:hAnsiTheme="majorHAnsi"/>
          <w:b/>
          <w:sz w:val="36"/>
          <w:szCs w:val="36"/>
        </w:rPr>
        <w:t>Product:</w:t>
      </w:r>
      <w:r w:rsidR="00FD2E5F" w:rsidRPr="00C7725E">
        <w:rPr>
          <w:rFonts w:asciiTheme="majorHAnsi" w:hAnsiTheme="majorHAnsi"/>
          <w:b/>
          <w:sz w:val="36"/>
          <w:szCs w:val="36"/>
        </w:rPr>
        <w:t xml:space="preserve"> </w:t>
      </w:r>
      <w:r w:rsidR="00365337" w:rsidRPr="00C7725E">
        <w:rPr>
          <w:rFonts w:asciiTheme="majorHAnsi" w:hAnsiTheme="majorHAnsi"/>
          <w:b/>
          <w:sz w:val="36"/>
          <w:szCs w:val="36"/>
        </w:rPr>
        <w:t xml:space="preserve"> </w:t>
      </w:r>
      <w:r w:rsidR="00810ED5" w:rsidRPr="00C7725E">
        <w:rPr>
          <w:rFonts w:asciiTheme="majorHAnsi" w:hAnsiTheme="majorHAnsi"/>
          <w:sz w:val="36"/>
          <w:szCs w:val="36"/>
        </w:rPr>
        <w:t xml:space="preserve">summary of </w:t>
      </w:r>
      <w:r w:rsidR="004E4D33">
        <w:rPr>
          <w:rFonts w:asciiTheme="majorHAnsi" w:hAnsiTheme="majorHAnsi"/>
          <w:sz w:val="36"/>
          <w:szCs w:val="36"/>
        </w:rPr>
        <w:t xml:space="preserve">  </w:t>
      </w:r>
      <w:r w:rsidR="004E4D33" w:rsidRPr="004E4D33">
        <w:rPr>
          <w:rFonts w:asciiTheme="majorHAnsi" w:hAnsiTheme="majorHAnsi"/>
          <w:sz w:val="36"/>
          <w:szCs w:val="36"/>
          <w:lang w:val="en"/>
        </w:rPr>
        <w:t>S.F. 2300/ H.F. 2267, entitled “Carpet product stewardship program provided, and report required</w:t>
      </w:r>
      <w:r w:rsidR="004E4D33">
        <w:rPr>
          <w:rFonts w:asciiTheme="majorHAnsi" w:hAnsiTheme="majorHAnsi"/>
          <w:sz w:val="36"/>
          <w:szCs w:val="36"/>
          <w:lang w:val="en"/>
        </w:rPr>
        <w:t>”</w:t>
      </w:r>
    </w:p>
    <w:p w:rsidR="004E4D33" w:rsidRPr="00F210A6" w:rsidRDefault="004E4D33" w:rsidP="00F210A6">
      <w:pPr>
        <w:pStyle w:val="NoSpacing"/>
        <w:rPr>
          <w:rFonts w:asciiTheme="majorHAnsi" w:hAnsiTheme="majorHAnsi"/>
          <w:sz w:val="28"/>
          <w:szCs w:val="28"/>
        </w:rPr>
      </w:pPr>
    </w:p>
    <w:tbl>
      <w:tblPr>
        <w:tblStyle w:val="TableGrid"/>
        <w:tblW w:w="0" w:type="auto"/>
        <w:tblInd w:w="-612" w:type="dxa"/>
        <w:tblLook w:val="04A0" w:firstRow="1" w:lastRow="0" w:firstColumn="1" w:lastColumn="0" w:noHBand="0" w:noVBand="1"/>
      </w:tblPr>
      <w:tblGrid>
        <w:gridCol w:w="2827"/>
        <w:gridCol w:w="3835"/>
        <w:gridCol w:w="4115"/>
        <w:gridCol w:w="7825"/>
      </w:tblGrid>
      <w:tr w:rsidR="00F210A6" w:rsidRPr="0076004F" w:rsidTr="004C5265">
        <w:tc>
          <w:tcPr>
            <w:tcW w:w="0" w:type="auto"/>
            <w:tcBorders>
              <w:bottom w:val="single" w:sz="4" w:space="0" w:color="auto"/>
            </w:tcBorders>
            <w:shd w:val="clear" w:color="auto" w:fill="08A1D9" w:themeFill="accent3"/>
          </w:tcPr>
          <w:p w:rsidR="000F6149" w:rsidRPr="005D479D" w:rsidRDefault="00B333D6" w:rsidP="00835585">
            <w:pPr>
              <w:pStyle w:val="NoSpacing"/>
              <w:jc w:val="center"/>
              <w:rPr>
                <w:rFonts w:asciiTheme="majorHAnsi" w:hAnsiTheme="majorHAnsi"/>
                <w:b/>
                <w:sz w:val="28"/>
                <w:szCs w:val="28"/>
              </w:rPr>
            </w:pPr>
            <w:r w:rsidRPr="005D479D">
              <w:rPr>
                <w:rFonts w:asciiTheme="majorHAnsi" w:hAnsiTheme="majorHAnsi"/>
                <w:b/>
                <w:sz w:val="28"/>
                <w:szCs w:val="28"/>
              </w:rPr>
              <w:t>Mn</w:t>
            </w:r>
            <w:r w:rsidR="000F6149" w:rsidRPr="005D479D">
              <w:rPr>
                <w:rFonts w:asciiTheme="majorHAnsi" w:hAnsiTheme="majorHAnsi"/>
                <w:b/>
                <w:sz w:val="28"/>
                <w:szCs w:val="28"/>
              </w:rPr>
              <w:t>PSC Priorit</w:t>
            </w:r>
            <w:r w:rsidR="006B1868" w:rsidRPr="005D479D">
              <w:rPr>
                <w:rFonts w:asciiTheme="majorHAnsi" w:hAnsiTheme="majorHAnsi"/>
                <w:b/>
                <w:sz w:val="28"/>
                <w:szCs w:val="28"/>
              </w:rPr>
              <w:t>ies</w:t>
            </w:r>
            <w:r w:rsidR="00617294" w:rsidRPr="005D479D">
              <w:rPr>
                <w:rFonts w:asciiTheme="majorHAnsi" w:hAnsiTheme="majorHAnsi"/>
                <w:b/>
                <w:sz w:val="28"/>
                <w:szCs w:val="28"/>
              </w:rPr>
              <w:t xml:space="preserve"> for EPR</w:t>
            </w:r>
          </w:p>
        </w:tc>
        <w:tc>
          <w:tcPr>
            <w:tcW w:w="0" w:type="auto"/>
            <w:tcBorders>
              <w:bottom w:val="single" w:sz="4" w:space="0" w:color="auto"/>
            </w:tcBorders>
            <w:shd w:val="clear" w:color="auto" w:fill="33CC33"/>
          </w:tcPr>
          <w:p w:rsidR="000F6149" w:rsidRPr="0076004F" w:rsidRDefault="00DD0E3E" w:rsidP="00835585">
            <w:pPr>
              <w:pStyle w:val="NoSpacing"/>
              <w:jc w:val="center"/>
              <w:rPr>
                <w:rFonts w:asciiTheme="majorHAnsi" w:hAnsiTheme="majorHAnsi"/>
                <w:b/>
                <w:sz w:val="28"/>
                <w:szCs w:val="28"/>
              </w:rPr>
            </w:pPr>
            <w:r w:rsidRPr="0076004F">
              <w:rPr>
                <w:rFonts w:asciiTheme="majorHAnsi" w:hAnsiTheme="majorHAnsi"/>
                <w:b/>
                <w:sz w:val="28"/>
                <w:szCs w:val="28"/>
              </w:rPr>
              <w:t xml:space="preserve">Meets </w:t>
            </w:r>
            <w:r w:rsidR="000F6149" w:rsidRPr="0076004F">
              <w:rPr>
                <w:rFonts w:asciiTheme="majorHAnsi" w:hAnsiTheme="majorHAnsi"/>
                <w:b/>
                <w:sz w:val="28"/>
                <w:szCs w:val="28"/>
              </w:rPr>
              <w:t>Priority</w:t>
            </w:r>
          </w:p>
        </w:tc>
        <w:tc>
          <w:tcPr>
            <w:tcW w:w="4115" w:type="dxa"/>
            <w:tcBorders>
              <w:right w:val="double" w:sz="4" w:space="0" w:color="auto"/>
            </w:tcBorders>
            <w:shd w:val="clear" w:color="auto" w:fill="C2AD8D" w:themeFill="accent5"/>
          </w:tcPr>
          <w:p w:rsidR="000F6149" w:rsidRPr="0076004F" w:rsidRDefault="00DD0E3E" w:rsidP="00835585">
            <w:pPr>
              <w:pStyle w:val="NoSpacing"/>
              <w:jc w:val="center"/>
              <w:rPr>
                <w:rFonts w:asciiTheme="majorHAnsi" w:hAnsiTheme="majorHAnsi"/>
                <w:b/>
                <w:sz w:val="28"/>
                <w:szCs w:val="28"/>
              </w:rPr>
            </w:pPr>
            <w:r w:rsidRPr="0076004F">
              <w:rPr>
                <w:rFonts w:asciiTheme="majorHAnsi" w:hAnsiTheme="majorHAnsi"/>
                <w:b/>
                <w:sz w:val="28"/>
                <w:szCs w:val="28"/>
              </w:rPr>
              <w:t xml:space="preserve">Does Not Meet </w:t>
            </w:r>
            <w:r w:rsidR="000F6149" w:rsidRPr="0076004F">
              <w:rPr>
                <w:rFonts w:asciiTheme="majorHAnsi" w:hAnsiTheme="majorHAnsi"/>
                <w:b/>
                <w:sz w:val="28"/>
                <w:szCs w:val="28"/>
              </w:rPr>
              <w:t>Priority</w:t>
            </w:r>
          </w:p>
        </w:tc>
        <w:tc>
          <w:tcPr>
            <w:tcW w:w="7825" w:type="dxa"/>
            <w:tcBorders>
              <w:left w:val="double" w:sz="4" w:space="0" w:color="auto"/>
              <w:bottom w:val="single" w:sz="4" w:space="0" w:color="auto"/>
            </w:tcBorders>
            <w:shd w:val="clear" w:color="auto" w:fill="FBA575" w:themeFill="accent2" w:themeFillTint="99"/>
          </w:tcPr>
          <w:p w:rsidR="000F6149" w:rsidRPr="0076004F" w:rsidRDefault="001174DC" w:rsidP="00835585">
            <w:pPr>
              <w:pStyle w:val="NoSpacing"/>
              <w:jc w:val="center"/>
              <w:rPr>
                <w:rFonts w:asciiTheme="majorHAnsi" w:hAnsiTheme="majorHAnsi"/>
                <w:b/>
                <w:sz w:val="28"/>
                <w:szCs w:val="28"/>
              </w:rPr>
            </w:pPr>
            <w:r>
              <w:rPr>
                <w:rFonts w:asciiTheme="majorHAnsi" w:hAnsiTheme="majorHAnsi"/>
                <w:b/>
                <w:sz w:val="28"/>
                <w:szCs w:val="28"/>
              </w:rPr>
              <w:t>Background</w:t>
            </w:r>
          </w:p>
        </w:tc>
      </w:tr>
      <w:tr w:rsidR="004E4D33" w:rsidRPr="0076004F" w:rsidTr="004C5265">
        <w:trPr>
          <w:trHeight w:val="341"/>
        </w:trPr>
        <w:tc>
          <w:tcPr>
            <w:tcW w:w="0" w:type="auto"/>
            <w:gridSpan w:val="4"/>
            <w:shd w:val="clear" w:color="auto" w:fill="506E94" w:themeFill="accent6"/>
          </w:tcPr>
          <w:p w:rsidR="004E4D33" w:rsidRPr="00D15014" w:rsidRDefault="004E4D33" w:rsidP="004E4D33">
            <w:pPr>
              <w:pStyle w:val="NoSpacing"/>
              <w:rPr>
                <w:rFonts w:asciiTheme="majorHAnsi" w:hAnsiTheme="majorHAnsi"/>
                <w:szCs w:val="24"/>
              </w:rPr>
            </w:pPr>
            <w:r w:rsidRPr="004E4D33">
              <w:rPr>
                <w:rFonts w:asciiTheme="majorHAnsi" w:hAnsiTheme="majorHAnsi"/>
                <w:b/>
                <w:color w:val="FFFFFF" w:themeColor="background1"/>
                <w:sz w:val="28"/>
                <w:szCs w:val="28"/>
              </w:rPr>
              <w:t xml:space="preserve">Environmental Protection </w:t>
            </w:r>
          </w:p>
        </w:tc>
      </w:tr>
      <w:tr w:rsidR="004E4D33" w:rsidRPr="0076004F" w:rsidTr="004C5265">
        <w:trPr>
          <w:trHeight w:val="530"/>
        </w:trPr>
        <w:tc>
          <w:tcPr>
            <w:tcW w:w="0" w:type="auto"/>
            <w:shd w:val="clear" w:color="auto" w:fill="C8EEFD" w:themeFill="accent3" w:themeFillTint="33"/>
          </w:tcPr>
          <w:p w:rsidR="004E4D33" w:rsidRDefault="004E4D33" w:rsidP="00F210A6">
            <w:pPr>
              <w:pStyle w:val="NoSpacing"/>
              <w:rPr>
                <w:rFonts w:asciiTheme="majorHAnsi" w:hAnsiTheme="majorHAnsi"/>
                <w:b/>
                <w:sz w:val="28"/>
                <w:szCs w:val="28"/>
              </w:rPr>
            </w:pPr>
            <w:r w:rsidRPr="00306159">
              <w:rPr>
                <w:rFonts w:asciiTheme="majorHAnsi" w:hAnsiTheme="majorHAnsi"/>
                <w:i/>
              </w:rPr>
              <w:t>Product recovery systems adhere to MN Waste Management Hierarchy</w:t>
            </w:r>
          </w:p>
        </w:tc>
        <w:tc>
          <w:tcPr>
            <w:tcW w:w="0" w:type="auto"/>
            <w:shd w:val="clear" w:color="auto" w:fill="CBD9B2" w:themeFill="accent4" w:themeFillTint="66"/>
          </w:tcPr>
          <w:p w:rsidR="004E4D33" w:rsidRPr="00AB6CD3" w:rsidRDefault="004E4D33" w:rsidP="004E4D33">
            <w:pPr>
              <w:pStyle w:val="NoSpacing"/>
              <w:rPr>
                <w:rFonts w:asciiTheme="majorHAnsi" w:hAnsiTheme="majorHAnsi"/>
                <w:sz w:val="24"/>
                <w:szCs w:val="24"/>
              </w:rPr>
            </w:pPr>
            <w:r w:rsidRPr="004E4D33">
              <w:rPr>
                <w:rFonts w:asciiTheme="majorHAnsi" w:hAnsiTheme="majorHAnsi"/>
                <w:szCs w:val="24"/>
              </w:rPr>
              <w:t xml:space="preserve">Yes, the proposed policy adheres to the MN Waste Management Hierarchy by requiring recycling and reuse. </w:t>
            </w:r>
          </w:p>
        </w:tc>
        <w:tc>
          <w:tcPr>
            <w:tcW w:w="4115" w:type="dxa"/>
            <w:tcBorders>
              <w:right w:val="double" w:sz="4" w:space="0" w:color="auto"/>
            </w:tcBorders>
            <w:shd w:val="clear" w:color="auto" w:fill="E6DED1" w:themeFill="accent5" w:themeFillTint="66"/>
          </w:tcPr>
          <w:p w:rsidR="004E4D33" w:rsidRPr="007862D5" w:rsidRDefault="004E4D33" w:rsidP="004E4D33">
            <w:pPr>
              <w:pStyle w:val="NoSpacing"/>
              <w:rPr>
                <w:rFonts w:asciiTheme="majorHAnsi" w:hAnsiTheme="majorHAnsi"/>
                <w:sz w:val="24"/>
                <w:szCs w:val="24"/>
              </w:rPr>
            </w:pPr>
          </w:p>
        </w:tc>
        <w:tc>
          <w:tcPr>
            <w:tcW w:w="7825" w:type="dxa"/>
            <w:tcBorders>
              <w:left w:val="double" w:sz="4" w:space="0" w:color="auto"/>
              <w:bottom w:val="single" w:sz="4" w:space="0" w:color="auto"/>
            </w:tcBorders>
            <w:shd w:val="clear" w:color="auto" w:fill="FCC3A3" w:themeFill="accent2" w:themeFillTint="66"/>
          </w:tcPr>
          <w:p w:rsidR="004E4D33" w:rsidRPr="004E4D33" w:rsidRDefault="004E4D33" w:rsidP="004E4D33">
            <w:pPr>
              <w:pStyle w:val="NoSpacing"/>
              <w:rPr>
                <w:rFonts w:asciiTheme="majorHAnsi" w:hAnsiTheme="majorHAnsi"/>
                <w:szCs w:val="24"/>
              </w:rPr>
            </w:pPr>
            <w:r w:rsidRPr="004E4D33">
              <w:rPr>
                <w:rFonts w:asciiTheme="majorHAnsi" w:hAnsiTheme="majorHAnsi"/>
                <w:szCs w:val="24"/>
              </w:rPr>
              <w:t>Section 1 subd 2 “…producers must… implement and finance a statewide product stewardship program that manages carpet by reducing carpet’s waste generation, promoting its reuse and recycling, and providing for negotiation and execution of agreements to collect, transport, and process carpet for end-of-life recycling and reuse.”</w:t>
            </w:r>
          </w:p>
          <w:p w:rsidR="004E4D33" w:rsidRPr="004E4D33" w:rsidRDefault="004E4D33" w:rsidP="004E4D33">
            <w:pPr>
              <w:pStyle w:val="NoSpacing"/>
              <w:rPr>
                <w:rFonts w:asciiTheme="majorHAnsi" w:hAnsiTheme="majorHAnsi"/>
                <w:szCs w:val="24"/>
              </w:rPr>
            </w:pPr>
          </w:p>
          <w:p w:rsidR="004E4D33" w:rsidRPr="00D15014" w:rsidRDefault="004E4D33" w:rsidP="004E4D33">
            <w:pPr>
              <w:pStyle w:val="NoSpacing"/>
              <w:rPr>
                <w:rFonts w:asciiTheme="majorHAnsi" w:hAnsiTheme="majorHAnsi"/>
                <w:szCs w:val="24"/>
              </w:rPr>
            </w:pPr>
            <w:r w:rsidRPr="004E4D33">
              <w:rPr>
                <w:rFonts w:asciiTheme="majorHAnsi" w:hAnsiTheme="majorHAnsi"/>
                <w:szCs w:val="24"/>
              </w:rPr>
              <w:t>Section 1 subd 4.1 “certification that the product stewardship program will accept all discarded carpet regardless of which producer produced the carpet and its individual components” and Section 1 subd 4. “a description of the method that will be used to reuse, deconstruct, or recycle the discarded carpet to ensure that the product’s components, to the extent feasible, are transformed or remanufactured into finished products for use”</w:t>
            </w:r>
          </w:p>
        </w:tc>
      </w:tr>
      <w:tr w:rsidR="004E4D33" w:rsidTr="004C5265">
        <w:trPr>
          <w:trHeight w:val="260"/>
        </w:trPr>
        <w:tc>
          <w:tcPr>
            <w:tcW w:w="0" w:type="auto"/>
            <w:gridSpan w:val="4"/>
            <w:shd w:val="clear" w:color="auto" w:fill="506E94" w:themeFill="accent6"/>
          </w:tcPr>
          <w:p w:rsidR="004E4D33" w:rsidRPr="00306159" w:rsidRDefault="004E4D33" w:rsidP="004E4D33">
            <w:pPr>
              <w:pStyle w:val="NoSpacing"/>
              <w:rPr>
                <w:rFonts w:asciiTheme="majorHAnsi" w:hAnsiTheme="majorHAnsi"/>
              </w:rPr>
            </w:pPr>
            <w:r w:rsidRPr="004E4D33">
              <w:rPr>
                <w:rFonts w:asciiTheme="majorHAnsi" w:hAnsiTheme="majorHAnsi"/>
                <w:b/>
                <w:color w:val="FFFFFF" w:themeColor="background1"/>
                <w:sz w:val="28"/>
                <w:szCs w:val="28"/>
              </w:rPr>
              <w:t>Financial</w:t>
            </w:r>
          </w:p>
        </w:tc>
      </w:tr>
      <w:tr w:rsidR="004E4D33" w:rsidTr="004C5265">
        <w:trPr>
          <w:trHeight w:val="629"/>
        </w:trPr>
        <w:tc>
          <w:tcPr>
            <w:tcW w:w="0" w:type="auto"/>
            <w:shd w:val="clear" w:color="auto" w:fill="C8EEFD" w:themeFill="accent3" w:themeFillTint="33"/>
          </w:tcPr>
          <w:p w:rsidR="004E4D33" w:rsidRPr="004E4D33" w:rsidRDefault="004E4D33" w:rsidP="004E4D33">
            <w:pPr>
              <w:pStyle w:val="NoSpacing"/>
              <w:rPr>
                <w:rFonts w:asciiTheme="majorHAnsi" w:hAnsiTheme="majorHAnsi"/>
                <w:i/>
              </w:rPr>
            </w:pPr>
            <w:r w:rsidRPr="00306159">
              <w:rPr>
                <w:rFonts w:asciiTheme="majorHAnsi" w:hAnsiTheme="majorHAnsi"/>
                <w:i/>
              </w:rPr>
              <w:t xml:space="preserve">All product costs - including  recovery systems - are incorporated into purchase price </w:t>
            </w:r>
            <w:r>
              <w:rPr>
                <w:rFonts w:asciiTheme="majorHAnsi" w:hAnsiTheme="majorHAnsi"/>
                <w:i/>
              </w:rPr>
              <w:t>of product</w:t>
            </w:r>
          </w:p>
        </w:tc>
        <w:tc>
          <w:tcPr>
            <w:tcW w:w="0" w:type="auto"/>
            <w:shd w:val="clear" w:color="auto" w:fill="CBD9B2" w:themeFill="accent4" w:themeFillTint="66"/>
          </w:tcPr>
          <w:p w:rsidR="004E4D33" w:rsidRPr="008940E3" w:rsidRDefault="004E4D33" w:rsidP="00401E44">
            <w:pPr>
              <w:pStyle w:val="NoSpacing"/>
              <w:rPr>
                <w:rFonts w:asciiTheme="majorHAnsi" w:hAnsiTheme="majorHAnsi"/>
                <w:strike/>
                <w:sz w:val="24"/>
                <w:szCs w:val="24"/>
              </w:rPr>
            </w:pPr>
          </w:p>
        </w:tc>
        <w:tc>
          <w:tcPr>
            <w:tcW w:w="4115" w:type="dxa"/>
            <w:tcBorders>
              <w:right w:val="double" w:sz="4" w:space="0" w:color="auto"/>
            </w:tcBorders>
            <w:shd w:val="clear" w:color="auto" w:fill="E6DED1" w:themeFill="accent5" w:themeFillTint="66"/>
          </w:tcPr>
          <w:p w:rsidR="004E4D33" w:rsidRPr="007C1397" w:rsidRDefault="004E4D33" w:rsidP="004E4D33">
            <w:pPr>
              <w:pStyle w:val="NoSpacing"/>
              <w:rPr>
                <w:rFonts w:asciiTheme="majorHAnsi" w:hAnsiTheme="majorHAnsi"/>
                <w:sz w:val="24"/>
                <w:szCs w:val="24"/>
              </w:rPr>
            </w:pPr>
            <w:r w:rsidRPr="004E4D33">
              <w:rPr>
                <w:rFonts w:asciiTheme="majorHAnsi" w:hAnsiTheme="majorHAnsi"/>
              </w:rPr>
              <w:t xml:space="preserve">Establishes a stewardship assessment to be placed on all new carpet at time of purchase which is set by the product stewardship organization(s) and audited to ensure that this assessment does not exceed the cost of collection and recycling. </w:t>
            </w:r>
          </w:p>
        </w:tc>
        <w:tc>
          <w:tcPr>
            <w:tcW w:w="7825" w:type="dxa"/>
            <w:tcBorders>
              <w:left w:val="double" w:sz="4" w:space="0" w:color="auto"/>
              <w:bottom w:val="single" w:sz="4" w:space="0" w:color="auto"/>
            </w:tcBorders>
            <w:shd w:val="clear" w:color="auto" w:fill="FCC3A3" w:themeFill="accent2" w:themeFillTint="66"/>
          </w:tcPr>
          <w:p w:rsidR="004E4D33" w:rsidRPr="00306159" w:rsidRDefault="004E4D33" w:rsidP="004E4D33">
            <w:pPr>
              <w:pStyle w:val="NoSpacing"/>
              <w:rPr>
                <w:rFonts w:asciiTheme="majorHAnsi" w:hAnsiTheme="majorHAnsi"/>
              </w:rPr>
            </w:pPr>
          </w:p>
        </w:tc>
      </w:tr>
      <w:tr w:rsidR="004E4D33" w:rsidTr="004C5265">
        <w:trPr>
          <w:trHeight w:val="539"/>
        </w:trPr>
        <w:tc>
          <w:tcPr>
            <w:tcW w:w="0" w:type="auto"/>
            <w:shd w:val="clear" w:color="auto" w:fill="C8EEFD" w:themeFill="accent3" w:themeFillTint="33"/>
          </w:tcPr>
          <w:p w:rsidR="004E4D33" w:rsidRDefault="004E4D33" w:rsidP="004E4D33">
            <w:pPr>
              <w:pStyle w:val="NoSpacing"/>
              <w:rPr>
                <w:rFonts w:asciiTheme="majorHAnsi" w:hAnsiTheme="majorHAnsi"/>
                <w:b/>
                <w:sz w:val="28"/>
                <w:szCs w:val="28"/>
              </w:rPr>
            </w:pPr>
            <w:r w:rsidRPr="00306159">
              <w:rPr>
                <w:rFonts w:asciiTheme="majorHAnsi" w:hAnsiTheme="majorHAnsi"/>
                <w:i/>
              </w:rPr>
              <w:t>Producer of product  responsible for recovery system program costs</w:t>
            </w:r>
          </w:p>
        </w:tc>
        <w:tc>
          <w:tcPr>
            <w:tcW w:w="0" w:type="auto"/>
            <w:shd w:val="clear" w:color="auto" w:fill="CBD9B2" w:themeFill="accent4" w:themeFillTint="66"/>
          </w:tcPr>
          <w:p w:rsidR="004E4D33" w:rsidRPr="008940E3" w:rsidRDefault="004E4D33" w:rsidP="00401E44">
            <w:pPr>
              <w:pStyle w:val="NoSpacing"/>
              <w:rPr>
                <w:rFonts w:asciiTheme="majorHAnsi" w:hAnsiTheme="majorHAnsi"/>
                <w:strike/>
                <w:sz w:val="24"/>
                <w:szCs w:val="24"/>
              </w:rPr>
            </w:pPr>
          </w:p>
        </w:tc>
        <w:tc>
          <w:tcPr>
            <w:tcW w:w="4115" w:type="dxa"/>
            <w:tcBorders>
              <w:right w:val="double" w:sz="4" w:space="0" w:color="auto"/>
            </w:tcBorders>
            <w:shd w:val="clear" w:color="auto" w:fill="E6DED1" w:themeFill="accent5" w:themeFillTint="66"/>
          </w:tcPr>
          <w:p w:rsidR="004E4D33" w:rsidRPr="007C1397" w:rsidRDefault="004E4D33" w:rsidP="004E4D33">
            <w:pPr>
              <w:pStyle w:val="NoSpacing"/>
              <w:rPr>
                <w:rFonts w:asciiTheme="majorHAnsi" w:hAnsiTheme="majorHAnsi"/>
                <w:sz w:val="24"/>
                <w:szCs w:val="24"/>
              </w:rPr>
            </w:pPr>
            <w:r w:rsidRPr="004E4D33">
              <w:rPr>
                <w:rFonts w:asciiTheme="majorHAnsi" w:hAnsiTheme="majorHAnsi"/>
              </w:rPr>
              <w:t>There is no responsibility on the producer of the product to cover the program costs. Program costs are covered by the stewardship assessment.</w:t>
            </w:r>
          </w:p>
        </w:tc>
        <w:tc>
          <w:tcPr>
            <w:tcW w:w="7825" w:type="dxa"/>
            <w:tcBorders>
              <w:left w:val="double" w:sz="4" w:space="0" w:color="auto"/>
              <w:bottom w:val="single" w:sz="4" w:space="0" w:color="auto"/>
            </w:tcBorders>
            <w:shd w:val="clear" w:color="auto" w:fill="FCC3A3" w:themeFill="accent2" w:themeFillTint="66"/>
          </w:tcPr>
          <w:p w:rsidR="004E4D33" w:rsidRPr="00306159" w:rsidRDefault="004E4D33" w:rsidP="004E4D33">
            <w:pPr>
              <w:pStyle w:val="NoSpacing"/>
              <w:rPr>
                <w:rFonts w:asciiTheme="majorHAnsi" w:hAnsiTheme="majorHAnsi"/>
              </w:rPr>
            </w:pPr>
          </w:p>
        </w:tc>
      </w:tr>
      <w:tr w:rsidR="004E4D33" w:rsidTr="004C5265">
        <w:trPr>
          <w:trHeight w:val="341"/>
        </w:trPr>
        <w:tc>
          <w:tcPr>
            <w:tcW w:w="0" w:type="auto"/>
            <w:gridSpan w:val="4"/>
            <w:shd w:val="clear" w:color="auto" w:fill="506E94" w:themeFill="accent6"/>
          </w:tcPr>
          <w:p w:rsidR="004E4D33" w:rsidRPr="00306159" w:rsidRDefault="004E4D33" w:rsidP="004E4D33">
            <w:pPr>
              <w:pStyle w:val="NoSpacing"/>
              <w:rPr>
                <w:rFonts w:asciiTheme="majorHAnsi" w:hAnsiTheme="majorHAnsi"/>
              </w:rPr>
            </w:pPr>
            <w:r w:rsidRPr="004E4D33">
              <w:rPr>
                <w:rFonts w:asciiTheme="majorHAnsi" w:hAnsiTheme="majorHAnsi"/>
                <w:b/>
                <w:color w:val="FFFFFF" w:themeColor="background1"/>
                <w:sz w:val="28"/>
                <w:szCs w:val="28"/>
              </w:rPr>
              <w:t>Measurable</w:t>
            </w:r>
          </w:p>
        </w:tc>
      </w:tr>
      <w:tr w:rsidR="00F210A6" w:rsidTr="004C5265">
        <w:trPr>
          <w:trHeight w:val="530"/>
        </w:trPr>
        <w:tc>
          <w:tcPr>
            <w:tcW w:w="0" w:type="auto"/>
            <w:shd w:val="clear" w:color="auto" w:fill="C8EEFD" w:themeFill="accent3" w:themeFillTint="33"/>
          </w:tcPr>
          <w:p w:rsidR="0088293A" w:rsidRPr="004E4D33" w:rsidRDefault="00F15845" w:rsidP="004E4D33">
            <w:pPr>
              <w:pStyle w:val="NoSpacing"/>
              <w:rPr>
                <w:rFonts w:asciiTheme="majorHAnsi" w:hAnsiTheme="majorHAnsi"/>
                <w:i/>
              </w:rPr>
            </w:pPr>
            <w:r w:rsidRPr="00306159">
              <w:rPr>
                <w:rFonts w:asciiTheme="majorHAnsi" w:hAnsiTheme="majorHAnsi"/>
                <w:i/>
              </w:rPr>
              <w:lastRenderedPageBreak/>
              <w:t>Effective, measurable goals set by government to achieve Priorities #1 and #2.</w:t>
            </w:r>
          </w:p>
        </w:tc>
        <w:tc>
          <w:tcPr>
            <w:tcW w:w="0" w:type="auto"/>
            <w:shd w:val="clear" w:color="auto" w:fill="CBD9B2" w:themeFill="accent4" w:themeFillTint="66"/>
          </w:tcPr>
          <w:p w:rsidR="00F15845" w:rsidRPr="00306159" w:rsidRDefault="00F15845" w:rsidP="002505A9">
            <w:pPr>
              <w:pStyle w:val="NoSpacing"/>
              <w:ind w:left="360"/>
              <w:rPr>
                <w:rFonts w:asciiTheme="majorHAnsi" w:hAnsiTheme="majorHAnsi"/>
              </w:rPr>
            </w:pPr>
          </w:p>
        </w:tc>
        <w:tc>
          <w:tcPr>
            <w:tcW w:w="4115" w:type="dxa"/>
            <w:tcBorders>
              <w:right w:val="double" w:sz="4" w:space="0" w:color="auto"/>
            </w:tcBorders>
            <w:shd w:val="clear" w:color="auto" w:fill="E6DED1" w:themeFill="accent5" w:themeFillTint="66"/>
          </w:tcPr>
          <w:p w:rsidR="00F15845" w:rsidRPr="007C770E" w:rsidRDefault="004E4D33" w:rsidP="004E4D33">
            <w:pPr>
              <w:pStyle w:val="NoSpacing"/>
              <w:tabs>
                <w:tab w:val="center" w:pos="2817"/>
              </w:tabs>
              <w:rPr>
                <w:rFonts w:asciiTheme="majorHAnsi" w:hAnsiTheme="majorHAnsi"/>
              </w:rPr>
            </w:pPr>
            <w:r w:rsidRPr="004E4D33">
              <w:rPr>
                <w:rFonts w:asciiTheme="majorHAnsi" w:hAnsiTheme="majorHAnsi"/>
              </w:rPr>
              <w:t>There are no waste reduction goals set in this proposed legislation, but all carpet is required to be recycled or r</w:t>
            </w:r>
            <w:r>
              <w:rPr>
                <w:rFonts w:asciiTheme="majorHAnsi" w:hAnsiTheme="majorHAnsi"/>
              </w:rPr>
              <w:t xml:space="preserve">euse “to the extent feasible”. </w:t>
            </w:r>
          </w:p>
        </w:tc>
        <w:tc>
          <w:tcPr>
            <w:tcW w:w="7825" w:type="dxa"/>
            <w:tcBorders>
              <w:left w:val="double" w:sz="4" w:space="0" w:color="auto"/>
              <w:bottom w:val="single" w:sz="4" w:space="0" w:color="auto"/>
            </w:tcBorders>
            <w:shd w:val="clear" w:color="auto" w:fill="FCC3A3" w:themeFill="accent2" w:themeFillTint="66"/>
          </w:tcPr>
          <w:p w:rsidR="007C770E" w:rsidRPr="007C770E" w:rsidRDefault="004E5951" w:rsidP="004E4D33">
            <w:pPr>
              <w:pStyle w:val="NoSpacing"/>
              <w:rPr>
                <w:rFonts w:asciiTheme="majorHAnsi" w:hAnsiTheme="majorHAnsi"/>
              </w:rPr>
            </w:pPr>
            <w:r>
              <w:rPr>
                <w:rFonts w:asciiTheme="majorHAnsi" w:hAnsiTheme="majorHAnsi"/>
              </w:rPr>
              <w:t>California’s</w:t>
            </w:r>
            <w:r w:rsidR="00586D22">
              <w:rPr>
                <w:rFonts w:asciiTheme="majorHAnsi" w:hAnsiTheme="majorHAnsi"/>
              </w:rPr>
              <w:t xml:space="preserve"> Product Stewardship for Carpet legislation sets a 24-percent recycling rate by January 1, 2020 and allows the department to set future goals that are quantifiable (both five-year goals and annual goals).</w:t>
            </w:r>
          </w:p>
        </w:tc>
      </w:tr>
      <w:tr w:rsidR="004E4D33" w:rsidTr="004C5265">
        <w:trPr>
          <w:trHeight w:val="305"/>
        </w:trPr>
        <w:tc>
          <w:tcPr>
            <w:tcW w:w="0" w:type="auto"/>
            <w:shd w:val="clear" w:color="auto" w:fill="C8EEFD" w:themeFill="accent3" w:themeFillTint="33"/>
          </w:tcPr>
          <w:p w:rsidR="004E4D33" w:rsidRPr="004E4D33" w:rsidRDefault="004E4D33" w:rsidP="004E4D33">
            <w:pPr>
              <w:pStyle w:val="NoSpacing"/>
              <w:rPr>
                <w:rFonts w:asciiTheme="majorHAnsi" w:hAnsiTheme="majorHAnsi"/>
                <w:sz w:val="24"/>
                <w:szCs w:val="24"/>
              </w:rPr>
            </w:pPr>
            <w:r w:rsidRPr="00306159">
              <w:rPr>
                <w:rFonts w:asciiTheme="majorHAnsi" w:hAnsiTheme="majorHAnsi"/>
                <w:i/>
              </w:rPr>
              <w:t>Dates to reach goals and implement program</w:t>
            </w:r>
          </w:p>
        </w:tc>
        <w:tc>
          <w:tcPr>
            <w:tcW w:w="0" w:type="auto"/>
            <w:shd w:val="clear" w:color="auto" w:fill="CBD9B2" w:themeFill="accent4" w:themeFillTint="66"/>
          </w:tcPr>
          <w:p w:rsidR="004E4D33" w:rsidRPr="00306159" w:rsidRDefault="004E4D33" w:rsidP="002505A9">
            <w:pPr>
              <w:pStyle w:val="NoSpacing"/>
              <w:ind w:left="360"/>
              <w:rPr>
                <w:rFonts w:asciiTheme="majorHAnsi" w:hAnsiTheme="majorHAnsi"/>
              </w:rPr>
            </w:pPr>
          </w:p>
        </w:tc>
        <w:tc>
          <w:tcPr>
            <w:tcW w:w="4115" w:type="dxa"/>
            <w:tcBorders>
              <w:right w:val="double" w:sz="4" w:space="0" w:color="auto"/>
            </w:tcBorders>
            <w:shd w:val="clear" w:color="auto" w:fill="E6DED1" w:themeFill="accent5" w:themeFillTint="66"/>
          </w:tcPr>
          <w:p w:rsidR="004E4D33" w:rsidRDefault="004E4D33" w:rsidP="004E4D33">
            <w:pPr>
              <w:pStyle w:val="NoSpacing"/>
              <w:rPr>
                <w:rFonts w:asciiTheme="majorHAnsi" w:hAnsiTheme="majorHAnsi"/>
              </w:rPr>
            </w:pPr>
            <w:r w:rsidRPr="004E4D33">
              <w:rPr>
                <w:rFonts w:asciiTheme="majorHAnsi" w:hAnsiTheme="majorHAnsi"/>
              </w:rPr>
              <w:t>Collection is to be first established in the seven-county metro area, and to follow in the entire state by July 1, 2022.</w:t>
            </w:r>
          </w:p>
        </w:tc>
        <w:tc>
          <w:tcPr>
            <w:tcW w:w="7825" w:type="dxa"/>
            <w:tcBorders>
              <w:left w:val="double" w:sz="4" w:space="0" w:color="auto"/>
              <w:bottom w:val="single" w:sz="4" w:space="0" w:color="auto"/>
            </w:tcBorders>
            <w:shd w:val="clear" w:color="auto" w:fill="FCC3A3" w:themeFill="accent2" w:themeFillTint="66"/>
          </w:tcPr>
          <w:p w:rsidR="004E4D33" w:rsidRDefault="00586D22" w:rsidP="004E4D33">
            <w:pPr>
              <w:pStyle w:val="NoSpacing"/>
              <w:rPr>
                <w:rFonts w:asciiTheme="majorHAnsi" w:hAnsiTheme="majorHAnsi"/>
              </w:rPr>
            </w:pPr>
            <w:r>
              <w:rPr>
                <w:rFonts w:asciiTheme="majorHAnsi" w:hAnsiTheme="majorHAnsi"/>
              </w:rPr>
              <w:t>No convenience for consumers is listed. It is expected that outside the seven-county metro area collection may be a challenge without convenient collection sites, and local government collection sites could be “expected” to step up without a guarantee their full costs are reimbursed</w:t>
            </w:r>
            <w:r w:rsidR="004E5951">
              <w:rPr>
                <w:rFonts w:asciiTheme="majorHAnsi" w:hAnsiTheme="majorHAnsi"/>
              </w:rPr>
              <w:t xml:space="preserve"> by the product stewardship program</w:t>
            </w:r>
            <w:r>
              <w:rPr>
                <w:rFonts w:asciiTheme="majorHAnsi" w:hAnsiTheme="majorHAnsi"/>
              </w:rPr>
              <w:t xml:space="preserve">. </w:t>
            </w:r>
          </w:p>
          <w:p w:rsidR="004C5265" w:rsidRDefault="004C5265" w:rsidP="004E4D33">
            <w:pPr>
              <w:pStyle w:val="NoSpacing"/>
              <w:rPr>
                <w:rFonts w:asciiTheme="majorHAnsi" w:hAnsiTheme="majorHAnsi"/>
              </w:rPr>
            </w:pPr>
          </w:p>
          <w:p w:rsidR="004C5265" w:rsidRPr="007C770E" w:rsidRDefault="004C5265" w:rsidP="004E4D33">
            <w:pPr>
              <w:pStyle w:val="NoSpacing"/>
              <w:rPr>
                <w:rFonts w:asciiTheme="majorHAnsi" w:hAnsiTheme="majorHAnsi"/>
              </w:rPr>
            </w:pPr>
            <w:r>
              <w:rPr>
                <w:rFonts w:asciiTheme="majorHAnsi" w:hAnsiTheme="majorHAnsi"/>
              </w:rPr>
              <w:t xml:space="preserve">New York state’s proposed language establishes a recycling and reuse percentage rate that increases from twenty five percent to ninety five percent by 2029. </w:t>
            </w:r>
          </w:p>
        </w:tc>
      </w:tr>
      <w:tr w:rsidR="004E4D33" w:rsidTr="004C5265">
        <w:trPr>
          <w:trHeight w:val="440"/>
        </w:trPr>
        <w:tc>
          <w:tcPr>
            <w:tcW w:w="0" w:type="auto"/>
            <w:gridSpan w:val="4"/>
            <w:shd w:val="clear" w:color="auto" w:fill="506E94" w:themeFill="accent6"/>
          </w:tcPr>
          <w:p w:rsidR="004E4D33" w:rsidRPr="000F6149" w:rsidRDefault="004E4D33" w:rsidP="004E4D33">
            <w:pPr>
              <w:pStyle w:val="NoSpacing"/>
              <w:rPr>
                <w:rFonts w:asciiTheme="majorHAnsi" w:hAnsiTheme="majorHAnsi"/>
                <w:sz w:val="24"/>
                <w:szCs w:val="24"/>
              </w:rPr>
            </w:pPr>
            <w:r w:rsidRPr="004E4D33">
              <w:rPr>
                <w:rFonts w:asciiTheme="majorHAnsi" w:hAnsiTheme="majorHAnsi"/>
                <w:b/>
                <w:color w:val="FFFFFF" w:themeColor="background1"/>
                <w:sz w:val="28"/>
                <w:szCs w:val="28"/>
              </w:rPr>
              <w:t>Accountable</w:t>
            </w:r>
            <w:r w:rsidRPr="004E4D33">
              <w:rPr>
                <w:rFonts w:asciiTheme="majorHAnsi" w:hAnsiTheme="majorHAnsi"/>
                <w:color w:val="FFFFFF" w:themeColor="background1"/>
                <w:sz w:val="28"/>
                <w:szCs w:val="28"/>
              </w:rPr>
              <w:t xml:space="preserve"> </w:t>
            </w:r>
          </w:p>
        </w:tc>
      </w:tr>
      <w:tr w:rsidR="004E4D33" w:rsidTr="004C5265">
        <w:trPr>
          <w:trHeight w:val="440"/>
        </w:trPr>
        <w:tc>
          <w:tcPr>
            <w:tcW w:w="0" w:type="auto"/>
            <w:shd w:val="clear" w:color="auto" w:fill="C8EEFD" w:themeFill="accent3" w:themeFillTint="33"/>
          </w:tcPr>
          <w:p w:rsidR="004E4D33" w:rsidRPr="004E4D33" w:rsidRDefault="004E4D33" w:rsidP="00F210A6">
            <w:pPr>
              <w:pStyle w:val="NoSpacing"/>
              <w:rPr>
                <w:rFonts w:asciiTheme="majorHAnsi" w:hAnsiTheme="majorHAnsi"/>
                <w:b/>
                <w:sz w:val="28"/>
                <w:szCs w:val="28"/>
              </w:rPr>
            </w:pPr>
            <w:r w:rsidRPr="00F210A6">
              <w:rPr>
                <w:rFonts w:asciiTheme="majorHAnsi" w:hAnsiTheme="majorHAnsi"/>
                <w:i/>
                <w:szCs w:val="24"/>
              </w:rPr>
              <w:t>Assignment of full responsibility for recovery system to producers</w:t>
            </w:r>
          </w:p>
        </w:tc>
        <w:tc>
          <w:tcPr>
            <w:tcW w:w="0" w:type="auto"/>
            <w:shd w:val="clear" w:color="auto" w:fill="CBD9B2" w:themeFill="accent4" w:themeFillTint="66"/>
          </w:tcPr>
          <w:p w:rsidR="004E4D33" w:rsidRPr="00BC21DB" w:rsidRDefault="004E4D33" w:rsidP="004E4D33">
            <w:pPr>
              <w:pStyle w:val="NoSpacing"/>
              <w:rPr>
                <w:rFonts w:asciiTheme="majorHAnsi" w:hAnsiTheme="majorHAnsi"/>
                <w:szCs w:val="24"/>
              </w:rPr>
            </w:pPr>
            <w:r w:rsidRPr="004E4D33">
              <w:rPr>
                <w:rFonts w:asciiTheme="majorHAnsi" w:hAnsiTheme="majorHAnsi"/>
                <w:szCs w:val="24"/>
              </w:rPr>
              <w:t>Full responsibility for recovery system is placed on the producers (while cost is placed on the consumers).</w:t>
            </w:r>
          </w:p>
        </w:tc>
        <w:tc>
          <w:tcPr>
            <w:tcW w:w="4115" w:type="dxa"/>
            <w:tcBorders>
              <w:right w:val="double" w:sz="4" w:space="0" w:color="auto"/>
            </w:tcBorders>
            <w:shd w:val="clear" w:color="auto" w:fill="E6DED1" w:themeFill="accent5" w:themeFillTint="66"/>
          </w:tcPr>
          <w:p w:rsidR="004E4D33" w:rsidRPr="007C1397" w:rsidRDefault="004E4D33" w:rsidP="004E4D33">
            <w:pPr>
              <w:pStyle w:val="NoSpacing"/>
              <w:ind w:left="360"/>
              <w:rPr>
                <w:rFonts w:asciiTheme="majorHAnsi" w:hAnsiTheme="majorHAnsi"/>
                <w:sz w:val="24"/>
                <w:szCs w:val="24"/>
              </w:rPr>
            </w:pPr>
          </w:p>
        </w:tc>
        <w:tc>
          <w:tcPr>
            <w:tcW w:w="7825" w:type="dxa"/>
            <w:tcBorders>
              <w:left w:val="double" w:sz="4" w:space="0" w:color="auto"/>
            </w:tcBorders>
            <w:shd w:val="clear" w:color="auto" w:fill="FCC3A3" w:themeFill="accent2" w:themeFillTint="66"/>
          </w:tcPr>
          <w:p w:rsidR="004E4D33" w:rsidRDefault="004E5951" w:rsidP="004E4D33">
            <w:pPr>
              <w:pStyle w:val="NoSpacing"/>
              <w:rPr>
                <w:rFonts w:asciiTheme="majorHAnsi" w:hAnsiTheme="majorHAnsi"/>
              </w:rPr>
            </w:pPr>
            <w:r w:rsidRPr="004E5951">
              <w:rPr>
                <w:rFonts w:asciiTheme="majorHAnsi" w:hAnsiTheme="majorHAnsi"/>
                <w:szCs w:val="24"/>
              </w:rPr>
              <w:t xml:space="preserve">Education requirement could be strengthened, for example </w:t>
            </w:r>
            <w:r>
              <w:rPr>
                <w:rFonts w:asciiTheme="majorHAnsi" w:hAnsiTheme="majorHAnsi"/>
              </w:rPr>
              <w:t xml:space="preserve">California’s Product Stewardship for Carpet legislation requires “education and outreach efforts to consumers, commercial building owners, carpet installation contractors, and retailers to promote their participation in achieving the purposes of carpet stewardship....” </w:t>
            </w:r>
          </w:p>
          <w:p w:rsidR="004C5265" w:rsidRDefault="004C5265" w:rsidP="004E4D33">
            <w:pPr>
              <w:pStyle w:val="NoSpacing"/>
              <w:rPr>
                <w:rFonts w:asciiTheme="majorHAnsi" w:hAnsiTheme="majorHAnsi"/>
              </w:rPr>
            </w:pPr>
          </w:p>
          <w:p w:rsidR="004C5265" w:rsidRPr="000F6149" w:rsidRDefault="004C5265" w:rsidP="004C5265">
            <w:pPr>
              <w:pStyle w:val="NoSpacing"/>
              <w:rPr>
                <w:rFonts w:asciiTheme="majorHAnsi" w:hAnsiTheme="majorHAnsi"/>
                <w:sz w:val="24"/>
                <w:szCs w:val="24"/>
              </w:rPr>
            </w:pPr>
            <w:r>
              <w:rPr>
                <w:rFonts w:asciiTheme="majorHAnsi" w:hAnsiTheme="majorHAnsi"/>
              </w:rPr>
              <w:t xml:space="preserve">New York state’s proposed language states, “The manufacturer, at the manufacturer’s cost, shall make arrangements with its wholesalers, retailers, and any flooring and floor covering contractors for the removal, acceptance, transport, recycling, and reuse of discarded carpet accepted pursuant to the provisions of this title and shall provide for a location for such wholesaler, retailer, and </w:t>
            </w:r>
            <w:r w:rsidR="00771329">
              <w:rPr>
                <w:rFonts w:asciiTheme="majorHAnsi" w:hAnsiTheme="majorHAnsi"/>
              </w:rPr>
              <w:t>flooring</w:t>
            </w:r>
            <w:bookmarkStart w:id="0" w:name="_GoBack"/>
            <w:bookmarkEnd w:id="0"/>
            <w:r>
              <w:rPr>
                <w:rFonts w:asciiTheme="majorHAnsi" w:hAnsiTheme="majorHAnsi"/>
              </w:rPr>
              <w:t xml:space="preserve"> and floor covering contractor to send removed discarded carpet. Such arrangements may include, but are not limited to, contracts or other agreements with third parties such as recycling facilities. In order to facilitate with carpet recycling, the removal and acceptance process shall require source separation and ensure the carpet is not in a condition allowing its recycling or reuse. </w:t>
            </w:r>
          </w:p>
        </w:tc>
      </w:tr>
      <w:tr w:rsidR="004E4D33" w:rsidTr="004C5265">
        <w:trPr>
          <w:trHeight w:val="440"/>
        </w:trPr>
        <w:tc>
          <w:tcPr>
            <w:tcW w:w="0" w:type="auto"/>
            <w:shd w:val="clear" w:color="auto" w:fill="C8EEFD" w:themeFill="accent3" w:themeFillTint="33"/>
          </w:tcPr>
          <w:p w:rsidR="004E4D33" w:rsidRPr="004E4D33" w:rsidRDefault="004E4D33" w:rsidP="004E4D33">
            <w:pPr>
              <w:pStyle w:val="NoSpacing"/>
              <w:rPr>
                <w:rFonts w:asciiTheme="majorHAnsi" w:hAnsiTheme="majorHAnsi"/>
                <w:b/>
                <w:sz w:val="28"/>
                <w:szCs w:val="28"/>
              </w:rPr>
            </w:pPr>
            <w:r w:rsidRPr="00F210A6">
              <w:rPr>
                <w:rFonts w:asciiTheme="majorHAnsi" w:hAnsiTheme="majorHAnsi"/>
                <w:i/>
                <w:szCs w:val="24"/>
              </w:rPr>
              <w:t>Enforcement – for noncompliance</w:t>
            </w:r>
          </w:p>
        </w:tc>
        <w:tc>
          <w:tcPr>
            <w:tcW w:w="0" w:type="auto"/>
            <w:shd w:val="clear" w:color="auto" w:fill="CBD9B2" w:themeFill="accent4" w:themeFillTint="66"/>
          </w:tcPr>
          <w:p w:rsidR="004E4D33" w:rsidRPr="004E4D33" w:rsidRDefault="004E4D33" w:rsidP="004E4D33">
            <w:pPr>
              <w:pStyle w:val="NoSpacing"/>
              <w:rPr>
                <w:rFonts w:asciiTheme="majorHAnsi" w:hAnsiTheme="majorHAnsi"/>
                <w:szCs w:val="24"/>
              </w:rPr>
            </w:pPr>
          </w:p>
        </w:tc>
        <w:tc>
          <w:tcPr>
            <w:tcW w:w="4115" w:type="dxa"/>
            <w:tcBorders>
              <w:right w:val="double" w:sz="4" w:space="0" w:color="auto"/>
            </w:tcBorders>
            <w:shd w:val="clear" w:color="auto" w:fill="E6DED1" w:themeFill="accent5" w:themeFillTint="66"/>
          </w:tcPr>
          <w:p w:rsidR="004E4D33" w:rsidRPr="004E4D33" w:rsidRDefault="004E4D33" w:rsidP="004E4D33">
            <w:pPr>
              <w:pStyle w:val="NoSpacing"/>
              <w:rPr>
                <w:rFonts w:asciiTheme="majorHAnsi" w:hAnsiTheme="majorHAnsi"/>
                <w:szCs w:val="24"/>
              </w:rPr>
            </w:pPr>
            <w:r w:rsidRPr="004E4D33">
              <w:rPr>
                <w:rFonts w:asciiTheme="majorHAnsi" w:hAnsiTheme="majorHAnsi"/>
                <w:szCs w:val="24"/>
              </w:rPr>
              <w:t>There is no enforcement language, the agency must list all producers and brands that are identified as noncompliant, but there is no language to intervene if a carpet producer does not participate in a product stewardship plan.</w:t>
            </w:r>
            <w:r w:rsidR="00586D22">
              <w:rPr>
                <w:rFonts w:asciiTheme="majorHAnsi" w:hAnsiTheme="majorHAnsi"/>
                <w:szCs w:val="24"/>
              </w:rPr>
              <w:t xml:space="preserve"> </w:t>
            </w:r>
          </w:p>
        </w:tc>
        <w:tc>
          <w:tcPr>
            <w:tcW w:w="7825" w:type="dxa"/>
            <w:tcBorders>
              <w:left w:val="double" w:sz="4" w:space="0" w:color="auto"/>
            </w:tcBorders>
            <w:shd w:val="clear" w:color="auto" w:fill="FCC3A3" w:themeFill="accent2" w:themeFillTint="66"/>
          </w:tcPr>
          <w:p w:rsidR="004E4D33" w:rsidRDefault="00586D22" w:rsidP="004E4D33">
            <w:pPr>
              <w:pStyle w:val="NoSpacing"/>
              <w:rPr>
                <w:rFonts w:asciiTheme="majorHAnsi" w:hAnsiTheme="majorHAnsi"/>
                <w:szCs w:val="24"/>
              </w:rPr>
            </w:pPr>
            <w:r w:rsidRPr="00586D22">
              <w:rPr>
                <w:rFonts w:asciiTheme="majorHAnsi" w:hAnsiTheme="majorHAnsi"/>
                <w:szCs w:val="24"/>
              </w:rPr>
              <w:t xml:space="preserve">The stewardship assessment will be applied to all products, and so regardless if a producer steps up to cooperate with the collection scheme the costs should be covered. This is a similar model to how PaintCare is written and managed. </w:t>
            </w:r>
          </w:p>
          <w:p w:rsidR="004E5951" w:rsidRDefault="004E5951" w:rsidP="004E4D33">
            <w:pPr>
              <w:pStyle w:val="NoSpacing"/>
              <w:rPr>
                <w:rFonts w:asciiTheme="majorHAnsi" w:hAnsiTheme="majorHAnsi"/>
                <w:szCs w:val="24"/>
              </w:rPr>
            </w:pPr>
          </w:p>
          <w:p w:rsidR="004E5951" w:rsidRPr="004E5951" w:rsidRDefault="004E5951" w:rsidP="004E4D33">
            <w:pPr>
              <w:pStyle w:val="NoSpacing"/>
              <w:rPr>
                <w:rFonts w:asciiTheme="majorHAnsi" w:hAnsiTheme="majorHAnsi"/>
                <w:szCs w:val="24"/>
              </w:rPr>
            </w:pPr>
            <w:r>
              <w:rPr>
                <w:rFonts w:asciiTheme="majorHAnsi" w:hAnsiTheme="majorHAnsi"/>
                <w:szCs w:val="24"/>
              </w:rPr>
              <w:t>Language from the Minnesota Electronics Recycling Act for enforcement reads, “</w:t>
            </w:r>
            <w:r w:rsidRPr="004E5951">
              <w:rPr>
                <w:rFonts w:asciiTheme="majorHAnsi" w:hAnsiTheme="majorHAnsi"/>
                <w:szCs w:val="24"/>
              </w:rPr>
              <w:t xml:space="preserve">(c) The department must enforce section 115A.1314, subdivision 1. The audit, assessment, appeal, collection, enforcement, disclosure, and other administrative provisions of chapters 270B, 270C, and 289A that apply to the taxes imposed under chapter 297A apply to the fee imposed under section 115A.1314, subdivision 1. To enforce section 115A.1314, subdivision 1, the commissioner of revenue may grant extensions to pay, and impose and abate penalties and interest on, the fee due under section 115A.1314, subdivision 1, in the manner </w:t>
            </w:r>
            <w:r w:rsidRPr="004E5951">
              <w:rPr>
                <w:rFonts w:asciiTheme="majorHAnsi" w:hAnsiTheme="majorHAnsi"/>
                <w:szCs w:val="24"/>
              </w:rPr>
              <w:lastRenderedPageBreak/>
              <w:t>provided in chapters 270C and 289A as if the fee were a tax imposed under chapter 297A.</w:t>
            </w:r>
            <w:r>
              <w:rPr>
                <w:rFonts w:asciiTheme="majorHAnsi" w:hAnsiTheme="majorHAnsi"/>
                <w:szCs w:val="24"/>
              </w:rPr>
              <w:t>”</w:t>
            </w:r>
          </w:p>
        </w:tc>
      </w:tr>
      <w:tr w:rsidR="004E4D33" w:rsidTr="004C5265">
        <w:trPr>
          <w:trHeight w:val="440"/>
        </w:trPr>
        <w:tc>
          <w:tcPr>
            <w:tcW w:w="0" w:type="auto"/>
            <w:shd w:val="clear" w:color="auto" w:fill="C8EEFD" w:themeFill="accent3" w:themeFillTint="33"/>
          </w:tcPr>
          <w:p w:rsidR="004E4D33" w:rsidRDefault="004E4D33" w:rsidP="004E4D33">
            <w:pPr>
              <w:pStyle w:val="NoSpacing"/>
              <w:rPr>
                <w:rFonts w:asciiTheme="majorHAnsi" w:hAnsiTheme="majorHAnsi"/>
                <w:b/>
                <w:szCs w:val="28"/>
              </w:rPr>
            </w:pPr>
            <w:r w:rsidRPr="00F210A6">
              <w:rPr>
                <w:rFonts w:asciiTheme="majorHAnsi" w:hAnsiTheme="majorHAnsi"/>
                <w:i/>
                <w:szCs w:val="24"/>
              </w:rPr>
              <w:lastRenderedPageBreak/>
              <w:t>Individual producers identified</w:t>
            </w:r>
          </w:p>
        </w:tc>
        <w:tc>
          <w:tcPr>
            <w:tcW w:w="0" w:type="auto"/>
            <w:shd w:val="clear" w:color="auto" w:fill="CBD9B2" w:themeFill="accent4" w:themeFillTint="66"/>
          </w:tcPr>
          <w:p w:rsidR="004E4D33" w:rsidRPr="00BC21DB" w:rsidRDefault="004E4D33" w:rsidP="004E4D33">
            <w:pPr>
              <w:pStyle w:val="NoSpacing"/>
              <w:rPr>
                <w:rFonts w:asciiTheme="majorHAnsi" w:hAnsiTheme="majorHAnsi"/>
                <w:szCs w:val="24"/>
              </w:rPr>
            </w:pPr>
            <w:r>
              <w:rPr>
                <w:rFonts w:asciiTheme="majorHAnsi" w:hAnsiTheme="majorHAnsi"/>
                <w:szCs w:val="24"/>
              </w:rPr>
              <w:t>Producers are clearly defined in Section 1 Subd 4.4</w:t>
            </w:r>
          </w:p>
        </w:tc>
        <w:tc>
          <w:tcPr>
            <w:tcW w:w="4115" w:type="dxa"/>
            <w:tcBorders>
              <w:right w:val="double" w:sz="4" w:space="0" w:color="auto"/>
            </w:tcBorders>
            <w:shd w:val="clear" w:color="auto" w:fill="E6DED1" w:themeFill="accent5" w:themeFillTint="66"/>
          </w:tcPr>
          <w:p w:rsidR="004E4D33" w:rsidRPr="007C1397" w:rsidRDefault="004E4D33" w:rsidP="004E4D33">
            <w:pPr>
              <w:pStyle w:val="NoSpacing"/>
              <w:rPr>
                <w:rFonts w:asciiTheme="majorHAnsi" w:hAnsiTheme="majorHAnsi"/>
                <w:sz w:val="24"/>
                <w:szCs w:val="24"/>
              </w:rPr>
            </w:pPr>
          </w:p>
        </w:tc>
        <w:tc>
          <w:tcPr>
            <w:tcW w:w="7825" w:type="dxa"/>
            <w:tcBorders>
              <w:left w:val="double" w:sz="4" w:space="0" w:color="auto"/>
            </w:tcBorders>
            <w:shd w:val="clear" w:color="auto" w:fill="FCC3A3" w:themeFill="accent2" w:themeFillTint="66"/>
          </w:tcPr>
          <w:p w:rsidR="004E4D33" w:rsidRPr="000F6149" w:rsidRDefault="004E4D33" w:rsidP="004E4D33">
            <w:pPr>
              <w:pStyle w:val="NoSpacing"/>
              <w:rPr>
                <w:rFonts w:asciiTheme="majorHAnsi" w:hAnsiTheme="majorHAnsi"/>
                <w:sz w:val="24"/>
                <w:szCs w:val="24"/>
              </w:rPr>
            </w:pPr>
          </w:p>
        </w:tc>
      </w:tr>
      <w:tr w:rsidR="004E4D33" w:rsidTr="004C5265">
        <w:trPr>
          <w:trHeight w:val="440"/>
        </w:trPr>
        <w:tc>
          <w:tcPr>
            <w:tcW w:w="0" w:type="auto"/>
            <w:shd w:val="clear" w:color="auto" w:fill="C8EEFD" w:themeFill="accent3" w:themeFillTint="33"/>
          </w:tcPr>
          <w:p w:rsidR="004E4D33" w:rsidRDefault="004E4D33" w:rsidP="004E4D33">
            <w:pPr>
              <w:pStyle w:val="NoSpacing"/>
              <w:rPr>
                <w:rFonts w:asciiTheme="majorHAnsi" w:hAnsiTheme="majorHAnsi"/>
                <w:b/>
                <w:szCs w:val="28"/>
              </w:rPr>
            </w:pPr>
            <w:r w:rsidRPr="00F210A6">
              <w:rPr>
                <w:rFonts w:asciiTheme="majorHAnsi" w:hAnsiTheme="majorHAnsi"/>
                <w:i/>
                <w:szCs w:val="24"/>
              </w:rPr>
              <w:t>Independent third party audit of financial &amp; environmental performance</w:t>
            </w:r>
          </w:p>
        </w:tc>
        <w:tc>
          <w:tcPr>
            <w:tcW w:w="0" w:type="auto"/>
            <w:shd w:val="clear" w:color="auto" w:fill="CBD9B2" w:themeFill="accent4" w:themeFillTint="66"/>
          </w:tcPr>
          <w:p w:rsidR="004E4D33" w:rsidRPr="00BC21DB" w:rsidRDefault="004E4D33" w:rsidP="004E4D33">
            <w:pPr>
              <w:pStyle w:val="NoSpacing"/>
              <w:rPr>
                <w:rFonts w:asciiTheme="majorHAnsi" w:hAnsiTheme="majorHAnsi"/>
                <w:szCs w:val="24"/>
              </w:rPr>
            </w:pPr>
            <w:r>
              <w:rPr>
                <w:rFonts w:asciiTheme="majorHAnsi" w:hAnsiTheme="majorHAnsi"/>
                <w:szCs w:val="24"/>
              </w:rPr>
              <w:t>Yes, there is a third-party audit of financial information, and a required stakeholder process for developing a new stewardship plan (completed every three years).</w:t>
            </w:r>
          </w:p>
        </w:tc>
        <w:tc>
          <w:tcPr>
            <w:tcW w:w="4115" w:type="dxa"/>
            <w:tcBorders>
              <w:right w:val="double" w:sz="4" w:space="0" w:color="auto"/>
            </w:tcBorders>
            <w:shd w:val="clear" w:color="auto" w:fill="E6DED1" w:themeFill="accent5" w:themeFillTint="66"/>
          </w:tcPr>
          <w:p w:rsidR="004E4D33" w:rsidRPr="00586D22" w:rsidRDefault="004E4D33" w:rsidP="00586D22">
            <w:pPr>
              <w:pStyle w:val="NoSpacing"/>
              <w:rPr>
                <w:rFonts w:asciiTheme="majorHAnsi" w:hAnsiTheme="majorHAnsi"/>
                <w:szCs w:val="24"/>
              </w:rPr>
            </w:pPr>
          </w:p>
        </w:tc>
        <w:tc>
          <w:tcPr>
            <w:tcW w:w="7825" w:type="dxa"/>
            <w:tcBorders>
              <w:left w:val="double" w:sz="4" w:space="0" w:color="auto"/>
            </w:tcBorders>
            <w:shd w:val="clear" w:color="auto" w:fill="FCC3A3" w:themeFill="accent2" w:themeFillTint="66"/>
          </w:tcPr>
          <w:p w:rsidR="004E4D33" w:rsidRPr="000F6149" w:rsidRDefault="004E4D33" w:rsidP="004E4D33">
            <w:pPr>
              <w:pStyle w:val="NoSpacing"/>
              <w:rPr>
                <w:rFonts w:asciiTheme="majorHAnsi" w:hAnsiTheme="majorHAnsi"/>
                <w:sz w:val="24"/>
                <w:szCs w:val="24"/>
              </w:rPr>
            </w:pPr>
            <w:r w:rsidRPr="004E4D33">
              <w:rPr>
                <w:rFonts w:asciiTheme="majorHAnsi" w:hAnsiTheme="majorHAnsi"/>
                <w:szCs w:val="24"/>
              </w:rPr>
              <w:t>There is a third-party audit required for financial auditing of the stewardship assessment. Product Stewardship plans must be reviewed every three years using a consultation process outlined in Section 1 subd 6 which requires the stewardship organization (or individual producer) submitting a stewardship plan to consult with stakeholders (retailers, installers, collectors, recyclers, local government, consumers, and citizens). The proposed legislation also includes a comment period to be submitted to the agency which allows for comments by local governments, communities, and citizens to report satisfaction with services from the product stewardship organization.</w:t>
            </w:r>
          </w:p>
        </w:tc>
      </w:tr>
      <w:tr w:rsidR="004E4D33" w:rsidTr="004C5265">
        <w:trPr>
          <w:trHeight w:val="440"/>
        </w:trPr>
        <w:tc>
          <w:tcPr>
            <w:tcW w:w="0" w:type="auto"/>
            <w:shd w:val="clear" w:color="auto" w:fill="C8EEFD" w:themeFill="accent3" w:themeFillTint="33"/>
          </w:tcPr>
          <w:p w:rsidR="004E4D33" w:rsidRDefault="004E4D33" w:rsidP="00F210A6">
            <w:pPr>
              <w:pStyle w:val="NoSpacing"/>
              <w:rPr>
                <w:rFonts w:asciiTheme="majorHAnsi" w:hAnsiTheme="majorHAnsi"/>
                <w:b/>
                <w:szCs w:val="28"/>
              </w:rPr>
            </w:pPr>
            <w:r w:rsidRPr="00F210A6">
              <w:rPr>
                <w:rFonts w:asciiTheme="majorHAnsi" w:hAnsiTheme="majorHAnsi"/>
                <w:i/>
                <w:szCs w:val="24"/>
              </w:rPr>
              <w:t>All wastes in product category included</w:t>
            </w:r>
          </w:p>
        </w:tc>
        <w:tc>
          <w:tcPr>
            <w:tcW w:w="0" w:type="auto"/>
            <w:shd w:val="clear" w:color="auto" w:fill="CBD9B2" w:themeFill="accent4" w:themeFillTint="66"/>
          </w:tcPr>
          <w:p w:rsidR="004E4D33" w:rsidRPr="00BC21DB" w:rsidRDefault="004E4D33" w:rsidP="004E4D33">
            <w:pPr>
              <w:pStyle w:val="NoSpacing"/>
              <w:rPr>
                <w:rFonts w:asciiTheme="majorHAnsi" w:hAnsiTheme="majorHAnsi"/>
                <w:szCs w:val="24"/>
              </w:rPr>
            </w:pPr>
            <w:r>
              <w:rPr>
                <w:rFonts w:asciiTheme="majorHAnsi" w:hAnsiTheme="majorHAnsi"/>
                <w:szCs w:val="24"/>
              </w:rPr>
              <w:t xml:space="preserve">Yes, this policy is for carpet only, which is the only product in this category. </w:t>
            </w:r>
          </w:p>
        </w:tc>
        <w:tc>
          <w:tcPr>
            <w:tcW w:w="4115" w:type="dxa"/>
            <w:tcBorders>
              <w:right w:val="double" w:sz="4" w:space="0" w:color="auto"/>
            </w:tcBorders>
            <w:shd w:val="clear" w:color="auto" w:fill="E6DED1" w:themeFill="accent5" w:themeFillTint="66"/>
          </w:tcPr>
          <w:p w:rsidR="004E4D33" w:rsidRPr="007C1397" w:rsidRDefault="004E4D33" w:rsidP="004E4D33">
            <w:pPr>
              <w:pStyle w:val="NoSpacing"/>
              <w:ind w:left="360"/>
              <w:rPr>
                <w:rFonts w:asciiTheme="majorHAnsi" w:hAnsiTheme="majorHAnsi"/>
                <w:sz w:val="24"/>
                <w:szCs w:val="24"/>
              </w:rPr>
            </w:pPr>
          </w:p>
        </w:tc>
        <w:tc>
          <w:tcPr>
            <w:tcW w:w="7825" w:type="dxa"/>
            <w:tcBorders>
              <w:left w:val="double" w:sz="4" w:space="0" w:color="auto"/>
            </w:tcBorders>
            <w:shd w:val="clear" w:color="auto" w:fill="FCC3A3" w:themeFill="accent2" w:themeFillTint="66"/>
          </w:tcPr>
          <w:p w:rsidR="004E4D33" w:rsidRPr="000F6149" w:rsidRDefault="004E4D33" w:rsidP="004E4D33">
            <w:pPr>
              <w:pStyle w:val="NoSpacing"/>
              <w:rPr>
                <w:rFonts w:asciiTheme="majorHAnsi" w:hAnsiTheme="majorHAnsi"/>
                <w:sz w:val="24"/>
                <w:szCs w:val="24"/>
              </w:rPr>
            </w:pPr>
          </w:p>
        </w:tc>
      </w:tr>
    </w:tbl>
    <w:p w:rsidR="0053748A" w:rsidRDefault="0053748A" w:rsidP="00EB7791">
      <w:pPr>
        <w:pStyle w:val="NoSpacing"/>
        <w:rPr>
          <w:rFonts w:asciiTheme="majorHAnsi" w:hAnsiTheme="majorHAnsi"/>
          <w:sz w:val="28"/>
          <w:szCs w:val="28"/>
        </w:rPr>
      </w:pPr>
    </w:p>
    <w:sectPr w:rsidR="0053748A" w:rsidSect="007F1CAD">
      <w:pgSz w:w="20160" w:h="12240" w:orient="landscape" w:code="5"/>
      <w:pgMar w:top="576" w:right="1080" w:bottom="27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61" w:rsidRDefault="00141661" w:rsidP="007F6BDC">
      <w:pPr>
        <w:spacing w:after="0" w:line="240" w:lineRule="auto"/>
      </w:pPr>
      <w:r>
        <w:separator/>
      </w:r>
    </w:p>
  </w:endnote>
  <w:endnote w:type="continuationSeparator" w:id="0">
    <w:p w:rsidR="00141661" w:rsidRDefault="00141661" w:rsidP="007F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61" w:rsidRDefault="00141661" w:rsidP="007F6BDC">
      <w:pPr>
        <w:spacing w:after="0" w:line="240" w:lineRule="auto"/>
      </w:pPr>
      <w:r>
        <w:separator/>
      </w:r>
    </w:p>
  </w:footnote>
  <w:footnote w:type="continuationSeparator" w:id="0">
    <w:p w:rsidR="00141661" w:rsidRDefault="00141661" w:rsidP="007F6B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19C"/>
    <w:multiLevelType w:val="hybridMultilevel"/>
    <w:tmpl w:val="C392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6FD"/>
    <w:multiLevelType w:val="hybridMultilevel"/>
    <w:tmpl w:val="79F047C2"/>
    <w:lvl w:ilvl="0" w:tplc="4992BAC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C6B68"/>
    <w:multiLevelType w:val="hybridMultilevel"/>
    <w:tmpl w:val="8D4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A7861"/>
    <w:multiLevelType w:val="hybridMultilevel"/>
    <w:tmpl w:val="683E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97676"/>
    <w:multiLevelType w:val="hybridMultilevel"/>
    <w:tmpl w:val="683E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C4887"/>
    <w:multiLevelType w:val="hybridMultilevel"/>
    <w:tmpl w:val="23A0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64E56"/>
    <w:multiLevelType w:val="hybridMultilevel"/>
    <w:tmpl w:val="9372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0194E"/>
    <w:multiLevelType w:val="hybridMultilevel"/>
    <w:tmpl w:val="F8AA3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15E8D"/>
    <w:multiLevelType w:val="hybridMultilevel"/>
    <w:tmpl w:val="683EB0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F92C51"/>
    <w:multiLevelType w:val="hybridMultilevel"/>
    <w:tmpl w:val="22600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DD6245"/>
    <w:multiLevelType w:val="hybridMultilevel"/>
    <w:tmpl w:val="D51AD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11CE1"/>
    <w:multiLevelType w:val="hybridMultilevel"/>
    <w:tmpl w:val="59487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45642C"/>
    <w:multiLevelType w:val="hybridMultilevel"/>
    <w:tmpl w:val="8EB41F9A"/>
    <w:lvl w:ilvl="0" w:tplc="C6A642B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E349B"/>
    <w:multiLevelType w:val="hybridMultilevel"/>
    <w:tmpl w:val="2586EB60"/>
    <w:lvl w:ilvl="0" w:tplc="863E7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CB13AC"/>
    <w:multiLevelType w:val="hybridMultilevel"/>
    <w:tmpl w:val="E80A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954CA"/>
    <w:multiLevelType w:val="hybridMultilevel"/>
    <w:tmpl w:val="0BEA6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77350C"/>
    <w:multiLevelType w:val="hybridMultilevel"/>
    <w:tmpl w:val="A50EA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DF7F5A"/>
    <w:multiLevelType w:val="hybridMultilevel"/>
    <w:tmpl w:val="AD3E9BF0"/>
    <w:lvl w:ilvl="0" w:tplc="D114A14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5C3BF0"/>
    <w:multiLevelType w:val="hybridMultilevel"/>
    <w:tmpl w:val="5A666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F916FA"/>
    <w:multiLevelType w:val="hybridMultilevel"/>
    <w:tmpl w:val="620C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1F7AAC"/>
    <w:multiLevelType w:val="hybridMultilevel"/>
    <w:tmpl w:val="D5DAA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644DE"/>
    <w:multiLevelType w:val="hybridMultilevel"/>
    <w:tmpl w:val="873ED938"/>
    <w:lvl w:ilvl="0" w:tplc="B234F01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D05673"/>
    <w:multiLevelType w:val="hybridMultilevel"/>
    <w:tmpl w:val="B6AA08F0"/>
    <w:lvl w:ilvl="0" w:tplc="5348735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2E74EF"/>
    <w:multiLevelType w:val="hybridMultilevel"/>
    <w:tmpl w:val="7848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A201B9"/>
    <w:multiLevelType w:val="hybridMultilevel"/>
    <w:tmpl w:val="7086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71DE2"/>
    <w:multiLevelType w:val="hybridMultilevel"/>
    <w:tmpl w:val="879E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934A7"/>
    <w:multiLevelType w:val="hybridMultilevel"/>
    <w:tmpl w:val="AC9C521A"/>
    <w:lvl w:ilvl="0" w:tplc="C7A6E16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07D41"/>
    <w:multiLevelType w:val="hybridMultilevel"/>
    <w:tmpl w:val="28AC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2697F"/>
    <w:multiLevelType w:val="hybridMultilevel"/>
    <w:tmpl w:val="D086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23028"/>
    <w:multiLevelType w:val="hybridMultilevel"/>
    <w:tmpl w:val="9A08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F74105"/>
    <w:multiLevelType w:val="hybridMultilevel"/>
    <w:tmpl w:val="118A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71D2D"/>
    <w:multiLevelType w:val="hybridMultilevel"/>
    <w:tmpl w:val="9BDAAB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4"/>
  </w:num>
  <w:num w:numId="2">
    <w:abstractNumId w:val="27"/>
  </w:num>
  <w:num w:numId="3">
    <w:abstractNumId w:val="0"/>
  </w:num>
  <w:num w:numId="4">
    <w:abstractNumId w:val="10"/>
  </w:num>
  <w:num w:numId="5">
    <w:abstractNumId w:val="25"/>
  </w:num>
  <w:num w:numId="6">
    <w:abstractNumId w:val="28"/>
  </w:num>
  <w:num w:numId="7">
    <w:abstractNumId w:val="6"/>
  </w:num>
  <w:num w:numId="8">
    <w:abstractNumId w:val="9"/>
  </w:num>
  <w:num w:numId="9">
    <w:abstractNumId w:val="31"/>
  </w:num>
  <w:num w:numId="10">
    <w:abstractNumId w:val="15"/>
  </w:num>
  <w:num w:numId="11">
    <w:abstractNumId w:val="11"/>
  </w:num>
  <w:num w:numId="12">
    <w:abstractNumId w:val="13"/>
  </w:num>
  <w:num w:numId="13">
    <w:abstractNumId w:val="2"/>
  </w:num>
  <w:num w:numId="14">
    <w:abstractNumId w:val="23"/>
  </w:num>
  <w:num w:numId="15">
    <w:abstractNumId w:val="20"/>
  </w:num>
  <w:num w:numId="16">
    <w:abstractNumId w:val="29"/>
  </w:num>
  <w:num w:numId="17">
    <w:abstractNumId w:val="16"/>
  </w:num>
  <w:num w:numId="18">
    <w:abstractNumId w:val="30"/>
  </w:num>
  <w:num w:numId="19">
    <w:abstractNumId w:val="4"/>
  </w:num>
  <w:num w:numId="20">
    <w:abstractNumId w:val="3"/>
  </w:num>
  <w:num w:numId="21">
    <w:abstractNumId w:val="8"/>
  </w:num>
  <w:num w:numId="22">
    <w:abstractNumId w:val="7"/>
  </w:num>
  <w:num w:numId="23">
    <w:abstractNumId w:val="22"/>
  </w:num>
  <w:num w:numId="24">
    <w:abstractNumId w:val="12"/>
  </w:num>
  <w:num w:numId="25">
    <w:abstractNumId w:val="14"/>
  </w:num>
  <w:num w:numId="26">
    <w:abstractNumId w:val="18"/>
  </w:num>
  <w:num w:numId="27">
    <w:abstractNumId w:val="21"/>
  </w:num>
  <w:num w:numId="28">
    <w:abstractNumId w:val="5"/>
  </w:num>
  <w:num w:numId="29">
    <w:abstractNumId w:val="1"/>
  </w:num>
  <w:num w:numId="30">
    <w:abstractNumId w:val="26"/>
  </w:num>
  <w:num w:numId="31">
    <w:abstractNumId w:val="17"/>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D"/>
    <w:rsid w:val="000123D2"/>
    <w:rsid w:val="00027BAC"/>
    <w:rsid w:val="00027FB1"/>
    <w:rsid w:val="00033194"/>
    <w:rsid w:val="00052748"/>
    <w:rsid w:val="00052EF4"/>
    <w:rsid w:val="00053B57"/>
    <w:rsid w:val="0006752D"/>
    <w:rsid w:val="0007397F"/>
    <w:rsid w:val="00075960"/>
    <w:rsid w:val="000905FF"/>
    <w:rsid w:val="000B1277"/>
    <w:rsid w:val="000B5756"/>
    <w:rsid w:val="000C6CCE"/>
    <w:rsid w:val="000D6FEB"/>
    <w:rsid w:val="000F1EF9"/>
    <w:rsid w:val="000F6149"/>
    <w:rsid w:val="00102851"/>
    <w:rsid w:val="00104B06"/>
    <w:rsid w:val="001174DC"/>
    <w:rsid w:val="00117810"/>
    <w:rsid w:val="00122CAA"/>
    <w:rsid w:val="00125DEC"/>
    <w:rsid w:val="00126A7E"/>
    <w:rsid w:val="00134281"/>
    <w:rsid w:val="001343E1"/>
    <w:rsid w:val="00137FAA"/>
    <w:rsid w:val="00141661"/>
    <w:rsid w:val="001513EC"/>
    <w:rsid w:val="00152E44"/>
    <w:rsid w:val="00171477"/>
    <w:rsid w:val="0017255D"/>
    <w:rsid w:val="0017434C"/>
    <w:rsid w:val="00183C35"/>
    <w:rsid w:val="00186E5C"/>
    <w:rsid w:val="001A07D6"/>
    <w:rsid w:val="001A736D"/>
    <w:rsid w:val="001C7787"/>
    <w:rsid w:val="001D0319"/>
    <w:rsid w:val="001E2B63"/>
    <w:rsid w:val="001F11E3"/>
    <w:rsid w:val="001F63BF"/>
    <w:rsid w:val="00210273"/>
    <w:rsid w:val="00210796"/>
    <w:rsid w:val="00214B12"/>
    <w:rsid w:val="002235C5"/>
    <w:rsid w:val="00225068"/>
    <w:rsid w:val="00235E0A"/>
    <w:rsid w:val="002379FB"/>
    <w:rsid w:val="00241CD5"/>
    <w:rsid w:val="0024354C"/>
    <w:rsid w:val="002505A9"/>
    <w:rsid w:val="002508D2"/>
    <w:rsid w:val="002551B3"/>
    <w:rsid w:val="002621E7"/>
    <w:rsid w:val="00267084"/>
    <w:rsid w:val="00277869"/>
    <w:rsid w:val="0028432B"/>
    <w:rsid w:val="002A713B"/>
    <w:rsid w:val="002B443F"/>
    <w:rsid w:val="002C26FF"/>
    <w:rsid w:val="002D535F"/>
    <w:rsid w:val="002E66FB"/>
    <w:rsid w:val="002E68C0"/>
    <w:rsid w:val="002F2C55"/>
    <w:rsid w:val="00302C1A"/>
    <w:rsid w:val="00306159"/>
    <w:rsid w:val="00320A5D"/>
    <w:rsid w:val="00320D21"/>
    <w:rsid w:val="003308C5"/>
    <w:rsid w:val="00333CD5"/>
    <w:rsid w:val="003576D6"/>
    <w:rsid w:val="0036034D"/>
    <w:rsid w:val="00361E61"/>
    <w:rsid w:val="00363DAC"/>
    <w:rsid w:val="00365337"/>
    <w:rsid w:val="00365FB2"/>
    <w:rsid w:val="00366147"/>
    <w:rsid w:val="0037181F"/>
    <w:rsid w:val="003832B7"/>
    <w:rsid w:val="00384401"/>
    <w:rsid w:val="00393CE9"/>
    <w:rsid w:val="003A1F4B"/>
    <w:rsid w:val="003A5950"/>
    <w:rsid w:val="003C216F"/>
    <w:rsid w:val="003C4B42"/>
    <w:rsid w:val="003D6807"/>
    <w:rsid w:val="004002F3"/>
    <w:rsid w:val="00401E44"/>
    <w:rsid w:val="004065C1"/>
    <w:rsid w:val="00421DF7"/>
    <w:rsid w:val="004344BF"/>
    <w:rsid w:val="0045050A"/>
    <w:rsid w:val="00457566"/>
    <w:rsid w:val="00461DCB"/>
    <w:rsid w:val="0046628B"/>
    <w:rsid w:val="00467596"/>
    <w:rsid w:val="0049562F"/>
    <w:rsid w:val="00496172"/>
    <w:rsid w:val="004B1618"/>
    <w:rsid w:val="004B2FED"/>
    <w:rsid w:val="004B3A7D"/>
    <w:rsid w:val="004C5265"/>
    <w:rsid w:val="004C6D57"/>
    <w:rsid w:val="004D2060"/>
    <w:rsid w:val="004E4D33"/>
    <w:rsid w:val="004E5951"/>
    <w:rsid w:val="004F0489"/>
    <w:rsid w:val="004F0587"/>
    <w:rsid w:val="00502CAB"/>
    <w:rsid w:val="00503C97"/>
    <w:rsid w:val="0051267F"/>
    <w:rsid w:val="00513238"/>
    <w:rsid w:val="00513C94"/>
    <w:rsid w:val="00517095"/>
    <w:rsid w:val="005318E7"/>
    <w:rsid w:val="00534718"/>
    <w:rsid w:val="0053748A"/>
    <w:rsid w:val="005505AA"/>
    <w:rsid w:val="005563CB"/>
    <w:rsid w:val="00564340"/>
    <w:rsid w:val="00586D22"/>
    <w:rsid w:val="005905BF"/>
    <w:rsid w:val="0059650A"/>
    <w:rsid w:val="005A3E6D"/>
    <w:rsid w:val="005A3E83"/>
    <w:rsid w:val="005A789D"/>
    <w:rsid w:val="005B353E"/>
    <w:rsid w:val="005B4093"/>
    <w:rsid w:val="005C308B"/>
    <w:rsid w:val="005C408E"/>
    <w:rsid w:val="005C4FD7"/>
    <w:rsid w:val="005D301C"/>
    <w:rsid w:val="005D479D"/>
    <w:rsid w:val="005D7605"/>
    <w:rsid w:val="005D7766"/>
    <w:rsid w:val="005F70C6"/>
    <w:rsid w:val="00617294"/>
    <w:rsid w:val="00637BE2"/>
    <w:rsid w:val="006403BA"/>
    <w:rsid w:val="00645D8C"/>
    <w:rsid w:val="00662933"/>
    <w:rsid w:val="00685554"/>
    <w:rsid w:val="00685EEC"/>
    <w:rsid w:val="0068613A"/>
    <w:rsid w:val="006903BC"/>
    <w:rsid w:val="006B1868"/>
    <w:rsid w:val="006B5970"/>
    <w:rsid w:val="006C31C1"/>
    <w:rsid w:val="006D1FCB"/>
    <w:rsid w:val="006D7861"/>
    <w:rsid w:val="006E7A09"/>
    <w:rsid w:val="007056AB"/>
    <w:rsid w:val="00711ACD"/>
    <w:rsid w:val="007125FA"/>
    <w:rsid w:val="00712B18"/>
    <w:rsid w:val="00723F46"/>
    <w:rsid w:val="00745BE1"/>
    <w:rsid w:val="0076004F"/>
    <w:rsid w:val="00771329"/>
    <w:rsid w:val="0077169B"/>
    <w:rsid w:val="007862D5"/>
    <w:rsid w:val="007915FD"/>
    <w:rsid w:val="007A4BB3"/>
    <w:rsid w:val="007B533B"/>
    <w:rsid w:val="007C1397"/>
    <w:rsid w:val="007C5AF3"/>
    <w:rsid w:val="007C770E"/>
    <w:rsid w:val="007E023C"/>
    <w:rsid w:val="007E2D9D"/>
    <w:rsid w:val="007E3282"/>
    <w:rsid w:val="007F1CAD"/>
    <w:rsid w:val="007F6689"/>
    <w:rsid w:val="007F6BDC"/>
    <w:rsid w:val="00801B16"/>
    <w:rsid w:val="00802B6B"/>
    <w:rsid w:val="00810ED5"/>
    <w:rsid w:val="00813C93"/>
    <w:rsid w:val="0081536C"/>
    <w:rsid w:val="0082334E"/>
    <w:rsid w:val="00835585"/>
    <w:rsid w:val="00850349"/>
    <w:rsid w:val="008534B5"/>
    <w:rsid w:val="008801F9"/>
    <w:rsid w:val="0088293A"/>
    <w:rsid w:val="00885930"/>
    <w:rsid w:val="00890085"/>
    <w:rsid w:val="008940E3"/>
    <w:rsid w:val="008972CA"/>
    <w:rsid w:val="008B2333"/>
    <w:rsid w:val="008B2AC6"/>
    <w:rsid w:val="008D5555"/>
    <w:rsid w:val="008E5ADC"/>
    <w:rsid w:val="008F0DFB"/>
    <w:rsid w:val="008F334B"/>
    <w:rsid w:val="008F725B"/>
    <w:rsid w:val="00902762"/>
    <w:rsid w:val="00910E19"/>
    <w:rsid w:val="00914893"/>
    <w:rsid w:val="00920842"/>
    <w:rsid w:val="009362A2"/>
    <w:rsid w:val="0093695E"/>
    <w:rsid w:val="009475A3"/>
    <w:rsid w:val="0096333B"/>
    <w:rsid w:val="009638FB"/>
    <w:rsid w:val="00967E32"/>
    <w:rsid w:val="009909B7"/>
    <w:rsid w:val="00991C8E"/>
    <w:rsid w:val="009B4B56"/>
    <w:rsid w:val="009C2908"/>
    <w:rsid w:val="009D5131"/>
    <w:rsid w:val="009D7C96"/>
    <w:rsid w:val="009D7CBD"/>
    <w:rsid w:val="009E19E4"/>
    <w:rsid w:val="009F30C5"/>
    <w:rsid w:val="00A06948"/>
    <w:rsid w:val="00A26306"/>
    <w:rsid w:val="00A50C9F"/>
    <w:rsid w:val="00A53E29"/>
    <w:rsid w:val="00A65F7F"/>
    <w:rsid w:val="00A7794A"/>
    <w:rsid w:val="00A804EB"/>
    <w:rsid w:val="00A91522"/>
    <w:rsid w:val="00A92AC7"/>
    <w:rsid w:val="00AB2F81"/>
    <w:rsid w:val="00AB6CD3"/>
    <w:rsid w:val="00AD0509"/>
    <w:rsid w:val="00AF44A6"/>
    <w:rsid w:val="00AF6851"/>
    <w:rsid w:val="00B04984"/>
    <w:rsid w:val="00B10214"/>
    <w:rsid w:val="00B10CFE"/>
    <w:rsid w:val="00B1216D"/>
    <w:rsid w:val="00B17710"/>
    <w:rsid w:val="00B179B0"/>
    <w:rsid w:val="00B30471"/>
    <w:rsid w:val="00B333D6"/>
    <w:rsid w:val="00B41261"/>
    <w:rsid w:val="00B42994"/>
    <w:rsid w:val="00B46CDC"/>
    <w:rsid w:val="00B50B83"/>
    <w:rsid w:val="00B53945"/>
    <w:rsid w:val="00B547EC"/>
    <w:rsid w:val="00B61F49"/>
    <w:rsid w:val="00B71CB0"/>
    <w:rsid w:val="00B95072"/>
    <w:rsid w:val="00B9582C"/>
    <w:rsid w:val="00BA4F64"/>
    <w:rsid w:val="00BB0BD2"/>
    <w:rsid w:val="00BB5C97"/>
    <w:rsid w:val="00BC21DB"/>
    <w:rsid w:val="00BC7F6D"/>
    <w:rsid w:val="00BE5C4E"/>
    <w:rsid w:val="00C14A27"/>
    <w:rsid w:val="00C17101"/>
    <w:rsid w:val="00C20231"/>
    <w:rsid w:val="00C335C9"/>
    <w:rsid w:val="00C41355"/>
    <w:rsid w:val="00C44AAA"/>
    <w:rsid w:val="00C46C03"/>
    <w:rsid w:val="00C47C5A"/>
    <w:rsid w:val="00C55C34"/>
    <w:rsid w:val="00C646B5"/>
    <w:rsid w:val="00C70094"/>
    <w:rsid w:val="00C7725E"/>
    <w:rsid w:val="00C80C8E"/>
    <w:rsid w:val="00CB2BA7"/>
    <w:rsid w:val="00CB591F"/>
    <w:rsid w:val="00CB6BD6"/>
    <w:rsid w:val="00CD4BAE"/>
    <w:rsid w:val="00CE50D2"/>
    <w:rsid w:val="00D15014"/>
    <w:rsid w:val="00D20620"/>
    <w:rsid w:val="00D20E76"/>
    <w:rsid w:val="00D30B0C"/>
    <w:rsid w:val="00D915C0"/>
    <w:rsid w:val="00DA0A4D"/>
    <w:rsid w:val="00DA0B22"/>
    <w:rsid w:val="00DA4926"/>
    <w:rsid w:val="00DB27EC"/>
    <w:rsid w:val="00DB4696"/>
    <w:rsid w:val="00DC768C"/>
    <w:rsid w:val="00DD0E3E"/>
    <w:rsid w:val="00DE1CFF"/>
    <w:rsid w:val="00DE2D17"/>
    <w:rsid w:val="00DF4D09"/>
    <w:rsid w:val="00DF5D1A"/>
    <w:rsid w:val="00E03765"/>
    <w:rsid w:val="00E2115C"/>
    <w:rsid w:val="00E2643B"/>
    <w:rsid w:val="00E57AFF"/>
    <w:rsid w:val="00E64D3B"/>
    <w:rsid w:val="00E80CB9"/>
    <w:rsid w:val="00E97D79"/>
    <w:rsid w:val="00EB7791"/>
    <w:rsid w:val="00EC1C50"/>
    <w:rsid w:val="00EC5620"/>
    <w:rsid w:val="00F149E1"/>
    <w:rsid w:val="00F15845"/>
    <w:rsid w:val="00F210A6"/>
    <w:rsid w:val="00F212DC"/>
    <w:rsid w:val="00F310E4"/>
    <w:rsid w:val="00F34976"/>
    <w:rsid w:val="00F46241"/>
    <w:rsid w:val="00F60C09"/>
    <w:rsid w:val="00F60E51"/>
    <w:rsid w:val="00F76785"/>
    <w:rsid w:val="00F80D47"/>
    <w:rsid w:val="00F826E7"/>
    <w:rsid w:val="00F932C6"/>
    <w:rsid w:val="00F95F8A"/>
    <w:rsid w:val="00FD2E5F"/>
    <w:rsid w:val="00FE32DE"/>
    <w:rsid w:val="00FF28E2"/>
    <w:rsid w:val="00FF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5BBDC-E2AB-4910-BF95-6749F5E6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FED"/>
    <w:pPr>
      <w:spacing w:after="0" w:line="240" w:lineRule="auto"/>
    </w:pPr>
  </w:style>
  <w:style w:type="paragraph" w:styleId="BalloonText">
    <w:name w:val="Balloon Text"/>
    <w:basedOn w:val="Normal"/>
    <w:link w:val="BalloonTextChar"/>
    <w:uiPriority w:val="99"/>
    <w:semiHidden/>
    <w:unhideWhenUsed/>
    <w:rsid w:val="00712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18"/>
    <w:rPr>
      <w:rFonts w:ascii="Tahoma" w:hAnsi="Tahoma" w:cs="Tahoma"/>
      <w:sz w:val="16"/>
      <w:szCs w:val="16"/>
    </w:rPr>
  </w:style>
  <w:style w:type="table" w:styleId="TableGrid">
    <w:name w:val="Table Grid"/>
    <w:basedOn w:val="TableNormal"/>
    <w:uiPriority w:val="59"/>
    <w:rsid w:val="007E3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6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BDC"/>
  </w:style>
  <w:style w:type="paragraph" w:styleId="Footer">
    <w:name w:val="footer"/>
    <w:basedOn w:val="Normal"/>
    <w:link w:val="FooterChar"/>
    <w:uiPriority w:val="99"/>
    <w:unhideWhenUsed/>
    <w:rsid w:val="007F6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BDC"/>
  </w:style>
  <w:style w:type="paragraph" w:styleId="ListParagraph">
    <w:name w:val="List Paragraph"/>
    <w:basedOn w:val="Normal"/>
    <w:uiPriority w:val="34"/>
    <w:qFormat/>
    <w:rsid w:val="00365337"/>
    <w:pPr>
      <w:ind w:left="720"/>
      <w:contextualSpacing/>
    </w:pPr>
  </w:style>
  <w:style w:type="character" w:styleId="CommentReference">
    <w:name w:val="annotation reference"/>
    <w:basedOn w:val="DefaultParagraphFont"/>
    <w:uiPriority w:val="99"/>
    <w:semiHidden/>
    <w:unhideWhenUsed/>
    <w:rsid w:val="002A713B"/>
    <w:rPr>
      <w:sz w:val="16"/>
      <w:szCs w:val="16"/>
    </w:rPr>
  </w:style>
  <w:style w:type="paragraph" w:styleId="CommentText">
    <w:name w:val="annotation text"/>
    <w:basedOn w:val="Normal"/>
    <w:link w:val="CommentTextChar"/>
    <w:uiPriority w:val="99"/>
    <w:semiHidden/>
    <w:unhideWhenUsed/>
    <w:rsid w:val="002A713B"/>
    <w:pPr>
      <w:spacing w:line="240" w:lineRule="auto"/>
    </w:pPr>
    <w:rPr>
      <w:sz w:val="20"/>
      <w:szCs w:val="20"/>
    </w:rPr>
  </w:style>
  <w:style w:type="character" w:customStyle="1" w:styleId="CommentTextChar">
    <w:name w:val="Comment Text Char"/>
    <w:basedOn w:val="DefaultParagraphFont"/>
    <w:link w:val="CommentText"/>
    <w:uiPriority w:val="99"/>
    <w:semiHidden/>
    <w:rsid w:val="002A713B"/>
    <w:rPr>
      <w:sz w:val="20"/>
      <w:szCs w:val="20"/>
    </w:rPr>
  </w:style>
  <w:style w:type="paragraph" w:styleId="CommentSubject">
    <w:name w:val="annotation subject"/>
    <w:basedOn w:val="CommentText"/>
    <w:next w:val="CommentText"/>
    <w:link w:val="CommentSubjectChar"/>
    <w:uiPriority w:val="99"/>
    <w:semiHidden/>
    <w:unhideWhenUsed/>
    <w:rsid w:val="002A713B"/>
    <w:rPr>
      <w:b/>
      <w:bCs/>
    </w:rPr>
  </w:style>
  <w:style w:type="character" w:customStyle="1" w:styleId="CommentSubjectChar">
    <w:name w:val="Comment Subject Char"/>
    <w:basedOn w:val="CommentTextChar"/>
    <w:link w:val="CommentSubject"/>
    <w:uiPriority w:val="99"/>
    <w:semiHidden/>
    <w:rsid w:val="002A713B"/>
    <w:rPr>
      <w:b/>
      <w:bCs/>
      <w:sz w:val="20"/>
      <w:szCs w:val="20"/>
    </w:rPr>
  </w:style>
  <w:style w:type="paragraph" w:styleId="Revision">
    <w:name w:val="Revision"/>
    <w:hidden/>
    <w:uiPriority w:val="99"/>
    <w:semiHidden/>
    <w:rsid w:val="00053B57"/>
    <w:pPr>
      <w:spacing w:after="0" w:line="240" w:lineRule="auto"/>
    </w:pPr>
  </w:style>
  <w:style w:type="character" w:styleId="Hyperlink">
    <w:name w:val="Hyperlink"/>
    <w:basedOn w:val="DefaultParagraphFont"/>
    <w:uiPriority w:val="99"/>
    <w:unhideWhenUsed/>
    <w:rsid w:val="005D301C"/>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292505">
      <w:bodyDiv w:val="1"/>
      <w:marLeft w:val="0"/>
      <w:marRight w:val="0"/>
      <w:marTop w:val="0"/>
      <w:marBottom w:val="0"/>
      <w:divBdr>
        <w:top w:val="none" w:sz="0" w:space="0" w:color="auto"/>
        <w:left w:val="none" w:sz="0" w:space="0" w:color="auto"/>
        <w:bottom w:val="none" w:sz="0" w:space="0" w:color="auto"/>
        <w:right w:val="none" w:sz="0" w:space="0" w:color="auto"/>
      </w:divBdr>
      <w:divsChild>
        <w:div w:id="47344911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Wilson</dc:creator>
  <cp:lastModifiedBy>Mallory Anderson</cp:lastModifiedBy>
  <cp:revision>4</cp:revision>
  <cp:lastPrinted>2015-06-10T17:08:00Z</cp:lastPrinted>
  <dcterms:created xsi:type="dcterms:W3CDTF">2019-03-14T14:59:00Z</dcterms:created>
  <dcterms:modified xsi:type="dcterms:W3CDTF">2019-03-14T21:07:00Z</dcterms:modified>
</cp:coreProperties>
</file>